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40"/>
        <w:jc w:val="center"/>
        <w:rPr/>
      </w:pPr>
      <w:r>
        <w:rPr>
          <w:b/>
          <w:bCs/>
          <w:color w:val="4A148C"/>
          <w:sz w:val="32"/>
          <w:szCs w:val="32"/>
        </w:rPr>
        <w:t>SARANGI JEWELS — E-COMMERCE PLATFORM</w:t>
      </w:r>
    </w:p>
    <w:p>
      <w:pPr>
        <w:pStyle w:val="Normal"/>
        <w:spacing w:before="0" w:after="300"/>
        <w:jc w:val="center"/>
        <w:rPr/>
      </w:pPr>
      <w:r>
        <w:rPr>
          <w:b/>
          <w:bCs/>
          <w:color w:val="B8860B"/>
          <w:sz w:val="24"/>
          <w:szCs w:val="24"/>
        </w:rPr>
        <w:t>SOFTWARE SALE — QUOTATION</w:t>
      </w:r>
    </w:p>
    <w:tbl>
      <w:tblPr>
        <w:tblW w:w="5000" w:type="pct"/>
        <w:jc w:val="left"/>
        <w:tblInd w:w="0" w:type="dxa"/>
        <w:tblLayout w:type="fixed"/>
        <w:tblCellMar>
          <w:top w:w="100" w:type="dxa"/>
          <w:left w:w="150" w:type="dxa"/>
          <w:bottom w:w="100" w:type="dxa"/>
          <w:right w:w="150" w:type="dxa"/>
        </w:tblCellMar>
      </w:tblPr>
      <w:tblGrid>
        <w:gridCol w:w="2559"/>
        <w:gridCol w:w="2560"/>
        <w:gridCol w:w="2560"/>
        <w:gridCol w:w="2560"/>
      </w:tblGrid>
      <w:tr>
        <w:trPr/>
        <w:tc>
          <w:tcPr>
            <w:tcW w:w="2559" w:type="dxa"/>
            <w:tcBorders>
              <w:top w:val="single" w:sz="4" w:space="0" w:color="D9D2E9"/>
              <w:left w:val="single" w:sz="4" w:space="0" w:color="D9D2E9"/>
              <w:bottom w:val="single" w:sz="4" w:space="0" w:color="D9D2E9"/>
              <w:right w:val="single" w:sz="4" w:space="0" w:color="D9D2E9"/>
            </w:tcBorders>
            <w:shd w:fill="F3EEF9" w:val="clear"/>
          </w:tcPr>
          <w:p>
            <w:pPr>
              <w:pStyle w:val="Normal"/>
              <w:jc w:val="left"/>
              <w:rPr/>
            </w:pPr>
            <w:r>
              <w:rPr>
                <w:b/>
                <w:bCs/>
                <w:color w:val="222222"/>
                <w:sz w:val="20"/>
                <w:szCs w:val="20"/>
              </w:rPr>
              <w:t>Quotation No.</w:t>
            </w:r>
          </w:p>
        </w:tc>
        <w:tc>
          <w:tcPr>
            <w:tcW w:w="2560" w:type="dxa"/>
            <w:tcBorders>
              <w:top w:val="single" w:sz="4" w:space="0" w:color="D9D2E9"/>
              <w:left w:val="single" w:sz="4" w:space="0" w:color="D9D2E9"/>
              <w:bottom w:val="single" w:sz="4" w:space="0" w:color="D9D2E9"/>
              <w:right w:val="single" w:sz="4" w:space="0" w:color="D9D2E9"/>
            </w:tcBorders>
          </w:tcPr>
          <w:p>
            <w:pPr>
              <w:pStyle w:val="Normal"/>
              <w:jc w:val="left"/>
              <w:rPr/>
            </w:pPr>
            <w:r>
              <w:rPr>
                <w:b w:val="false"/>
                <w:bCs w:val="false"/>
                <w:color w:val="222222"/>
                <w:sz w:val="20"/>
                <w:szCs w:val="20"/>
              </w:rPr>
              <w:t>SJ-SW-2026-001</w:t>
            </w:r>
          </w:p>
        </w:tc>
        <w:tc>
          <w:tcPr>
            <w:tcW w:w="2560" w:type="dxa"/>
            <w:tcBorders>
              <w:top w:val="single" w:sz="4" w:space="0" w:color="D9D2E9"/>
              <w:left w:val="single" w:sz="4" w:space="0" w:color="D9D2E9"/>
              <w:bottom w:val="single" w:sz="4" w:space="0" w:color="D9D2E9"/>
              <w:right w:val="single" w:sz="4" w:space="0" w:color="D9D2E9"/>
            </w:tcBorders>
            <w:shd w:fill="F3EEF9" w:val="clear"/>
          </w:tcPr>
          <w:p>
            <w:pPr>
              <w:pStyle w:val="Normal"/>
              <w:jc w:val="left"/>
              <w:rPr/>
            </w:pPr>
            <w:r>
              <w:rPr>
                <w:b/>
                <w:bCs/>
                <w:color w:val="222222"/>
                <w:sz w:val="20"/>
                <w:szCs w:val="20"/>
              </w:rPr>
              <w:t>Date</w:t>
            </w:r>
          </w:p>
        </w:tc>
        <w:tc>
          <w:tcPr>
            <w:tcW w:w="2560" w:type="dxa"/>
            <w:tcBorders>
              <w:top w:val="single" w:sz="4" w:space="0" w:color="D9D2E9"/>
              <w:left w:val="single" w:sz="4" w:space="0" w:color="D9D2E9"/>
              <w:bottom w:val="single" w:sz="4" w:space="0" w:color="D9D2E9"/>
              <w:right w:val="single" w:sz="4" w:space="0" w:color="D9D2E9"/>
            </w:tcBorders>
          </w:tcPr>
          <w:p>
            <w:pPr>
              <w:pStyle w:val="Normal"/>
              <w:jc w:val="left"/>
              <w:rPr/>
            </w:pPr>
            <w:r>
              <w:rPr>
                <w:b w:val="false"/>
                <w:bCs w:val="false"/>
                <w:color w:val="222222"/>
                <w:sz w:val="20"/>
                <w:szCs w:val="20"/>
              </w:rPr>
              <w:t>12 September 2026</w:t>
            </w:r>
          </w:p>
        </w:tc>
      </w:tr>
      <w:tr>
        <w:trPr/>
        <w:tc>
          <w:tcPr>
            <w:tcW w:w="2559" w:type="dxa"/>
            <w:tcBorders>
              <w:top w:val="single" w:sz="4" w:space="0" w:color="D9D2E9"/>
              <w:left w:val="single" w:sz="4" w:space="0" w:color="D9D2E9"/>
              <w:bottom w:val="single" w:sz="4" w:space="0" w:color="D9D2E9"/>
              <w:right w:val="single" w:sz="4" w:space="0" w:color="D9D2E9"/>
            </w:tcBorders>
            <w:shd w:fill="F3EEF9" w:val="clear"/>
          </w:tcPr>
          <w:p>
            <w:pPr>
              <w:pStyle w:val="Normal"/>
              <w:jc w:val="left"/>
              <w:rPr/>
            </w:pPr>
            <w:r>
              <w:rPr>
                <w:b/>
                <w:bCs/>
                <w:color w:val="222222"/>
                <w:sz w:val="20"/>
                <w:szCs w:val="20"/>
              </w:rPr>
              <w:t>Prepared For</w:t>
            </w:r>
          </w:p>
        </w:tc>
        <w:tc>
          <w:tcPr>
            <w:tcW w:w="2560" w:type="dxa"/>
            <w:tcBorders>
              <w:top w:val="single" w:sz="4" w:space="0" w:color="D9D2E9"/>
              <w:left w:val="single" w:sz="4" w:space="0" w:color="D9D2E9"/>
              <w:bottom w:val="single" w:sz="4" w:space="0" w:color="D9D2E9"/>
              <w:right w:val="single" w:sz="4" w:space="0" w:color="D9D2E9"/>
            </w:tcBorders>
          </w:tcPr>
          <w:p>
            <w:pPr>
              <w:pStyle w:val="Normal"/>
              <w:jc w:val="left"/>
              <w:rPr/>
            </w:pPr>
            <w:r>
              <w:rPr>
                <w:b w:val="false"/>
                <w:bCs w:val="false"/>
                <w:color w:val="222222"/>
                <w:sz w:val="20"/>
                <w:szCs w:val="20"/>
              </w:rPr>
              <w:t>Owner, Sarangi Jewels</w:t>
            </w:r>
          </w:p>
        </w:tc>
        <w:tc>
          <w:tcPr>
            <w:tcW w:w="2560" w:type="dxa"/>
            <w:tcBorders>
              <w:top w:val="single" w:sz="4" w:space="0" w:color="D9D2E9"/>
              <w:left w:val="single" w:sz="4" w:space="0" w:color="D9D2E9"/>
              <w:bottom w:val="single" w:sz="4" w:space="0" w:color="D9D2E9"/>
              <w:right w:val="single" w:sz="4" w:space="0" w:color="D9D2E9"/>
            </w:tcBorders>
            <w:shd w:fill="F3EEF9" w:val="clear"/>
          </w:tcPr>
          <w:p>
            <w:pPr>
              <w:pStyle w:val="Normal"/>
              <w:jc w:val="left"/>
              <w:rPr/>
            </w:pPr>
            <w:r>
              <w:rPr>
                <w:b/>
                <w:bCs/>
                <w:color w:val="222222"/>
                <w:sz w:val="20"/>
                <w:szCs w:val="20"/>
              </w:rPr>
              <w:t>Valid Until</w:t>
            </w:r>
          </w:p>
        </w:tc>
        <w:tc>
          <w:tcPr>
            <w:tcW w:w="2560" w:type="dxa"/>
            <w:tcBorders>
              <w:top w:val="single" w:sz="4" w:space="0" w:color="D9D2E9"/>
              <w:left w:val="single" w:sz="4" w:space="0" w:color="D9D2E9"/>
              <w:bottom w:val="single" w:sz="4" w:space="0" w:color="D9D2E9"/>
              <w:right w:val="single" w:sz="4" w:space="0" w:color="D9D2E9"/>
            </w:tcBorders>
          </w:tcPr>
          <w:p>
            <w:pPr>
              <w:pStyle w:val="Normal"/>
              <w:jc w:val="left"/>
              <w:rPr/>
            </w:pPr>
            <w:r>
              <w:rPr>
                <w:b w:val="false"/>
                <w:bCs w:val="false"/>
                <w:color w:val="222222"/>
                <w:sz w:val="20"/>
                <w:szCs w:val="20"/>
              </w:rPr>
              <w:t>12 October 2026 (30 days)</w:t>
            </w:r>
          </w:p>
        </w:tc>
      </w:tr>
      <w:tr>
        <w:trPr/>
        <w:tc>
          <w:tcPr>
            <w:tcW w:w="2559" w:type="dxa"/>
            <w:tcBorders>
              <w:top w:val="single" w:sz="4" w:space="0" w:color="D9D2E9"/>
              <w:left w:val="single" w:sz="4" w:space="0" w:color="D9D2E9"/>
              <w:bottom w:val="single" w:sz="4" w:space="0" w:color="D9D2E9"/>
              <w:right w:val="single" w:sz="4" w:space="0" w:color="D9D2E9"/>
            </w:tcBorders>
            <w:shd w:fill="F3EEF9" w:val="clear"/>
          </w:tcPr>
          <w:p>
            <w:pPr>
              <w:pStyle w:val="Normal"/>
              <w:jc w:val="left"/>
              <w:rPr/>
            </w:pPr>
            <w:r>
              <w:rPr>
                <w:b/>
                <w:bCs/>
                <w:color w:val="222222"/>
                <w:sz w:val="20"/>
                <w:szCs w:val="20"/>
              </w:rPr>
              <w:t>Prepared By</w:t>
            </w:r>
          </w:p>
        </w:tc>
        <w:tc>
          <w:tcPr>
            <w:tcW w:w="2560" w:type="dxa"/>
            <w:tcBorders>
              <w:top w:val="single" w:sz="4" w:space="0" w:color="D9D2E9"/>
              <w:left w:val="single" w:sz="4" w:space="0" w:color="D9D2E9"/>
              <w:bottom w:val="single" w:sz="4" w:space="0" w:color="D9D2E9"/>
              <w:right w:val="single" w:sz="4" w:space="0" w:color="D9D2E9"/>
            </w:tcBorders>
          </w:tcPr>
          <w:p>
            <w:pPr>
              <w:pStyle w:val="Normal"/>
              <w:jc w:val="left"/>
              <w:rPr/>
            </w:pPr>
            <w:r>
              <w:rPr>
                <w:b w:val="false"/>
                <w:bCs w:val="false"/>
                <w:color w:val="222222"/>
                <w:sz w:val="20"/>
                <w:szCs w:val="20"/>
              </w:rPr>
              <w:t>[Your Company / Developer Name]</w:t>
            </w:r>
          </w:p>
        </w:tc>
        <w:tc>
          <w:tcPr>
            <w:tcW w:w="2560" w:type="dxa"/>
            <w:tcBorders>
              <w:top w:val="single" w:sz="4" w:space="0" w:color="D9D2E9"/>
              <w:left w:val="single" w:sz="4" w:space="0" w:color="D9D2E9"/>
              <w:bottom w:val="single" w:sz="4" w:space="0" w:color="D9D2E9"/>
              <w:right w:val="single" w:sz="4" w:space="0" w:color="D9D2E9"/>
            </w:tcBorders>
            <w:shd w:fill="F3EEF9" w:val="clear"/>
          </w:tcPr>
          <w:p>
            <w:pPr>
              <w:pStyle w:val="Normal"/>
              <w:jc w:val="left"/>
              <w:rPr/>
            </w:pPr>
            <w:r>
              <w:rPr>
                <w:b/>
                <w:bCs/>
                <w:color w:val="222222"/>
                <w:sz w:val="20"/>
                <w:szCs w:val="20"/>
              </w:rPr>
              <w:t>Contact</w:t>
            </w:r>
          </w:p>
        </w:tc>
        <w:tc>
          <w:tcPr>
            <w:tcW w:w="2560" w:type="dxa"/>
            <w:tcBorders>
              <w:top w:val="single" w:sz="4" w:space="0" w:color="D9D2E9"/>
              <w:left w:val="single" w:sz="4" w:space="0" w:color="D9D2E9"/>
              <w:bottom w:val="single" w:sz="4" w:space="0" w:color="D9D2E9"/>
              <w:right w:val="single" w:sz="4" w:space="0" w:color="D9D2E9"/>
            </w:tcBorders>
          </w:tcPr>
          <w:p>
            <w:pPr>
              <w:pStyle w:val="Normal"/>
              <w:jc w:val="left"/>
              <w:rPr/>
            </w:pPr>
            <w:r>
              <w:rPr>
                <w:b w:val="false"/>
                <w:bCs w:val="false"/>
                <w:color w:val="222222"/>
                <w:sz w:val="20"/>
                <w:szCs w:val="20"/>
              </w:rPr>
              <w:t>[Phone / Email]</w:t>
            </w:r>
          </w:p>
        </w:tc>
      </w:tr>
    </w:tbl>
    <w:p>
      <w:pPr>
        <w:pStyle w:val="Normal"/>
        <w:spacing w:before="240" w:after="120"/>
        <w:rPr/>
      </w:pPr>
      <w:r>
        <w:rPr>
          <w:b/>
          <w:bCs/>
          <w:color w:val="4A148C"/>
          <w:sz w:val="24"/>
          <w:szCs w:val="24"/>
        </w:rPr>
        <w:t>1. Scope of Software Supplied</w:t>
      </w:r>
    </w:p>
    <w:p>
      <w:pPr>
        <w:pStyle w:val="Normal"/>
        <w:spacing w:before="0" w:after="120"/>
        <w:rPr/>
      </w:pPr>
      <w:r>
        <w:rPr>
          <w:color w:val="222222"/>
          <w:sz w:val="21"/>
          <w:szCs w:val="21"/>
        </w:rPr>
        <w:t>This quotation covers the sale of a fully built, ready-to-deploy e-commerce and business management platform for Sarangi Jewels, covering ornaments/jewellery sales, ladies' store retail, and dance-costume rental management. The package includes:</w:t>
      </w:r>
    </w:p>
    <w:p>
      <w:pPr>
        <w:pStyle w:val="ListParagraph"/>
        <w:numPr>
          <w:ilvl w:val="0"/>
          <w:numId w:val="3"/>
        </w:numPr>
        <w:spacing w:before="0" w:after="60"/>
        <w:rPr/>
      </w:pPr>
      <w:r>
        <w:rPr>
          <w:sz w:val="21"/>
          <w:szCs w:val="21"/>
        </w:rPr>
        <w:t>Customer website (product catalog, cart, secure checkout, order tracking, wishlist, reviews)</w:t>
      </w:r>
    </w:p>
    <w:p>
      <w:pPr>
        <w:pStyle w:val="ListParagraph"/>
        <w:numPr>
          <w:ilvl w:val="0"/>
          <w:numId w:val="1"/>
        </w:numPr>
        <w:spacing w:before="0" w:after="60"/>
        <w:rPr/>
      </w:pPr>
      <w:r>
        <w:rPr>
          <w:sz w:val="21"/>
          <w:szCs w:val="21"/>
        </w:rPr>
        <w:t>Customer mobile application (Android/iOS via Expo) with full shopping and rental-booking features</w:t>
      </w:r>
    </w:p>
    <w:p>
      <w:pPr>
        <w:pStyle w:val="ListParagraph"/>
        <w:numPr>
          <w:ilvl w:val="0"/>
          <w:numId w:val="1"/>
        </w:numPr>
        <w:spacing w:before="0" w:after="60"/>
        <w:rPr/>
      </w:pPr>
      <w:r>
        <w:rPr>
          <w:sz w:val="21"/>
          <w:szCs w:val="21"/>
        </w:rPr>
        <w:t>Admin web dashboard — catalog, pricing, inventory, promotions, orders, reports, staff roles</w:t>
      </w:r>
    </w:p>
    <w:p>
      <w:pPr>
        <w:pStyle w:val="ListParagraph"/>
        <w:numPr>
          <w:ilvl w:val="0"/>
          <w:numId w:val="1"/>
        </w:numPr>
        <w:spacing w:before="0" w:after="60"/>
        <w:rPr/>
      </w:pPr>
      <w:r>
        <w:rPr>
          <w:sz w:val="21"/>
          <w:szCs w:val="21"/>
        </w:rPr>
        <w:t>Staff/fulfillment mobile application — pick, pack, ship, and scan workflows</w:t>
      </w:r>
    </w:p>
    <w:p>
      <w:pPr>
        <w:pStyle w:val="ListParagraph"/>
        <w:numPr>
          <w:ilvl w:val="0"/>
          <w:numId w:val="1"/>
        </w:numPr>
        <w:spacing w:before="0" w:after="60"/>
        <w:rPr/>
      </w:pPr>
      <w:r>
        <w:rPr>
          <w:sz w:val="21"/>
          <w:szCs w:val="21"/>
        </w:rPr>
        <w:t>Central backend API and database — single source of truth across all storefronts</w:t>
      </w:r>
    </w:p>
    <w:p>
      <w:pPr>
        <w:pStyle w:val="ListParagraph"/>
        <w:numPr>
          <w:ilvl w:val="0"/>
          <w:numId w:val="1"/>
        </w:numPr>
        <w:spacing w:before="0" w:after="60"/>
        <w:rPr/>
      </w:pPr>
      <w:r>
        <w:rPr>
          <w:sz w:val="21"/>
          <w:szCs w:val="21"/>
        </w:rPr>
        <w:t>Rental booking engine — availability checks, scheduling, returns, deposit handling</w:t>
      </w:r>
    </w:p>
    <w:p>
      <w:pPr>
        <w:pStyle w:val="ListParagraph"/>
        <w:numPr>
          <w:ilvl w:val="0"/>
          <w:numId w:val="1"/>
        </w:numPr>
        <w:spacing w:before="0" w:after="60"/>
        <w:rPr/>
      </w:pPr>
      <w:r>
        <w:rPr>
          <w:sz w:val="21"/>
          <w:szCs w:val="21"/>
        </w:rPr>
        <w:t>Payment gateway integration (Razorpay) with Cash-on-Delivery support</w:t>
      </w:r>
    </w:p>
    <w:p>
      <w:pPr>
        <w:pStyle w:val="ListParagraph"/>
        <w:numPr>
          <w:ilvl w:val="0"/>
          <w:numId w:val="1"/>
        </w:numPr>
        <w:spacing w:before="0" w:after="60"/>
        <w:rPr/>
      </w:pPr>
      <w:r>
        <w:rPr>
          <w:sz w:val="21"/>
          <w:szCs w:val="21"/>
        </w:rPr>
        <w:t>WhatsApp order-update integration</w:t>
      </w:r>
    </w:p>
    <w:p>
      <w:pPr>
        <w:pStyle w:val="ListParagraph"/>
        <w:numPr>
          <w:ilvl w:val="0"/>
          <w:numId w:val="1"/>
        </w:numPr>
        <w:spacing w:before="0" w:after="60"/>
        <w:rPr/>
      </w:pPr>
      <w:r>
        <w:rPr>
          <w:sz w:val="21"/>
          <w:szCs w:val="21"/>
        </w:rPr>
        <w:t>Deployment support, initial data/catalog setup, and staff training</w:t>
      </w:r>
    </w:p>
    <w:p>
      <w:pPr>
        <w:pStyle w:val="ListParagraph"/>
        <w:numPr>
          <w:ilvl w:val="0"/>
          <w:numId w:val="1"/>
        </w:numPr>
        <w:spacing w:before="0" w:after="60"/>
        <w:rPr/>
      </w:pPr>
      <w:r>
        <w:rPr>
          <w:sz w:val="21"/>
          <w:szCs w:val="21"/>
        </w:rPr>
        <w:t>Post-launch support for the period specified in the Sale Agreement</w:t>
      </w:r>
    </w:p>
    <w:p>
      <w:pPr>
        <w:pStyle w:val="Normal"/>
        <w:spacing w:before="240" w:after="120"/>
        <w:rPr/>
      </w:pPr>
      <w:r>
        <w:rPr>
          <w:b/>
          <w:bCs/>
          <w:color w:val="4A148C"/>
          <w:sz w:val="24"/>
          <w:szCs w:val="24"/>
        </w:rPr>
        <w:t>2. Pricing Summary</w:t>
      </w:r>
    </w:p>
    <w:tbl>
      <w:tblPr>
        <w:tblW w:w="5000" w:type="pct"/>
        <w:jc w:val="left"/>
        <w:tblInd w:w="0" w:type="dxa"/>
        <w:tblLayout w:type="fixed"/>
        <w:tblCellMar>
          <w:top w:w="100" w:type="dxa"/>
          <w:left w:w="150" w:type="dxa"/>
          <w:bottom w:w="100" w:type="dxa"/>
          <w:right w:w="150" w:type="dxa"/>
        </w:tblCellMar>
      </w:tblPr>
      <w:tblGrid>
        <w:gridCol w:w="3413"/>
        <w:gridCol w:w="3413"/>
        <w:gridCol w:w="3414"/>
      </w:tblGrid>
      <w:tr>
        <w:trPr/>
        <w:tc>
          <w:tcPr>
            <w:tcW w:w="3413" w:type="dxa"/>
            <w:tcBorders>
              <w:top w:val="single" w:sz="4" w:space="0" w:color="D9D2E9"/>
              <w:left w:val="single" w:sz="4" w:space="0" w:color="D9D2E9"/>
              <w:bottom w:val="single" w:sz="4" w:space="0" w:color="D9D2E9"/>
              <w:right w:val="single" w:sz="4" w:space="0" w:color="D9D2E9"/>
            </w:tcBorders>
            <w:shd w:fill="4A148C" w:val="clear"/>
          </w:tcPr>
          <w:p>
            <w:pPr>
              <w:pStyle w:val="Normal"/>
              <w:jc w:val="left"/>
              <w:rPr/>
            </w:pPr>
            <w:r>
              <w:rPr>
                <w:b/>
                <w:bCs/>
                <w:color w:val="FFFFFF"/>
                <w:sz w:val="20"/>
                <w:szCs w:val="20"/>
              </w:rPr>
              <w:t>Item</w:t>
            </w:r>
          </w:p>
        </w:tc>
        <w:tc>
          <w:tcPr>
            <w:tcW w:w="3413" w:type="dxa"/>
            <w:tcBorders>
              <w:top w:val="single" w:sz="4" w:space="0" w:color="D9D2E9"/>
              <w:left w:val="single" w:sz="4" w:space="0" w:color="D9D2E9"/>
              <w:bottom w:val="single" w:sz="4" w:space="0" w:color="D9D2E9"/>
              <w:right w:val="single" w:sz="4" w:space="0" w:color="D9D2E9"/>
            </w:tcBorders>
            <w:shd w:fill="4A148C" w:val="clear"/>
          </w:tcPr>
          <w:p>
            <w:pPr>
              <w:pStyle w:val="Normal"/>
              <w:jc w:val="left"/>
              <w:rPr/>
            </w:pPr>
            <w:r>
              <w:rPr>
                <w:b/>
                <w:bCs/>
                <w:color w:val="FFFFFF"/>
                <w:sz w:val="20"/>
                <w:szCs w:val="20"/>
              </w:rPr>
              <w:t>Description</w:t>
            </w:r>
          </w:p>
        </w:tc>
        <w:tc>
          <w:tcPr>
            <w:tcW w:w="3414" w:type="dxa"/>
            <w:tcBorders>
              <w:top w:val="single" w:sz="4" w:space="0" w:color="D9D2E9"/>
              <w:left w:val="single" w:sz="4" w:space="0" w:color="D9D2E9"/>
              <w:bottom w:val="single" w:sz="4" w:space="0" w:color="D9D2E9"/>
              <w:right w:val="single" w:sz="4" w:space="0" w:color="D9D2E9"/>
            </w:tcBorders>
            <w:shd w:fill="4A148C" w:val="clear"/>
          </w:tcPr>
          <w:p>
            <w:pPr>
              <w:pStyle w:val="Normal"/>
              <w:jc w:val="right"/>
              <w:rPr/>
            </w:pPr>
            <w:r>
              <w:rPr>
                <w:b/>
                <w:bCs/>
                <w:color w:val="FFFFFF"/>
                <w:sz w:val="20"/>
                <w:szCs w:val="20"/>
              </w:rPr>
              <w:t>Price (INR)</w:t>
            </w:r>
          </w:p>
        </w:tc>
      </w:tr>
      <w:tr>
        <w:trPr/>
        <w:tc>
          <w:tcPr>
            <w:tcW w:w="3413" w:type="dxa"/>
            <w:tcBorders>
              <w:top w:val="single" w:sz="4" w:space="0" w:color="D9D2E9"/>
              <w:left w:val="single" w:sz="4" w:space="0" w:color="D9D2E9"/>
              <w:bottom w:val="single" w:sz="4" w:space="0" w:color="D9D2E9"/>
              <w:right w:val="single" w:sz="4" w:space="0" w:color="D9D2E9"/>
            </w:tcBorders>
          </w:tcPr>
          <w:p>
            <w:pPr>
              <w:pStyle w:val="Normal"/>
              <w:jc w:val="left"/>
              <w:rPr/>
            </w:pPr>
            <w:r>
              <w:rPr>
                <w:b/>
                <w:bCs/>
                <w:color w:val="222222"/>
                <w:sz w:val="20"/>
                <w:szCs w:val="20"/>
              </w:rPr>
              <w:t>Software Licence Package</w:t>
            </w:r>
          </w:p>
        </w:tc>
        <w:tc>
          <w:tcPr>
            <w:tcW w:w="3413" w:type="dxa"/>
            <w:tcBorders>
              <w:top w:val="single" w:sz="4" w:space="0" w:color="D9D2E9"/>
              <w:left w:val="single" w:sz="4" w:space="0" w:color="D9D2E9"/>
              <w:bottom w:val="single" w:sz="4" w:space="0" w:color="D9D2E9"/>
              <w:right w:val="single" w:sz="4" w:space="0" w:color="D9D2E9"/>
            </w:tcBorders>
          </w:tcPr>
          <w:p>
            <w:pPr>
              <w:pStyle w:val="Normal"/>
              <w:jc w:val="left"/>
              <w:rPr/>
            </w:pPr>
            <w:r>
              <w:rPr>
                <w:b w:val="false"/>
                <w:bCs w:val="false"/>
                <w:color w:val="222222"/>
                <w:sz w:val="20"/>
                <w:szCs w:val="20"/>
              </w:rPr>
              <w:t>Web</w:t>
            </w:r>
            <w:r>
              <w:rPr>
                <w:b w:val="false"/>
                <w:bCs w:val="false"/>
                <w:color w:val="222222"/>
                <w:sz w:val="20"/>
                <w:szCs w:val="20"/>
              </w:rPr>
              <w:t xml:space="preserve"> platform — web, admin, API — as scoped in Section 1. One-time licence to use the software for Sarangi Jewels' business.</w:t>
            </w:r>
          </w:p>
        </w:tc>
        <w:tc>
          <w:tcPr>
            <w:tcW w:w="3414" w:type="dxa"/>
            <w:tcBorders>
              <w:top w:val="single" w:sz="4" w:space="0" w:color="D9D2E9"/>
              <w:left w:val="single" w:sz="4" w:space="0" w:color="D9D2E9"/>
              <w:bottom w:val="single" w:sz="4" w:space="0" w:color="D9D2E9"/>
              <w:right w:val="single" w:sz="4" w:space="0" w:color="D9D2E9"/>
            </w:tcBorders>
          </w:tcPr>
          <w:p>
            <w:pPr>
              <w:pStyle w:val="Normal"/>
              <w:jc w:val="right"/>
              <w:rPr/>
            </w:pPr>
            <w:r>
              <w:rPr>
                <w:b/>
                <w:bCs/>
                <w:color w:val="222222"/>
                <w:sz w:val="20"/>
                <w:szCs w:val="20"/>
              </w:rPr>
              <w:t>₹</w:t>
            </w:r>
            <w:r>
              <w:rPr>
                <w:b/>
                <w:bCs/>
                <w:color w:val="222222"/>
                <w:sz w:val="20"/>
                <w:szCs w:val="20"/>
              </w:rPr>
              <w:t>1</w:t>
            </w:r>
            <w:r>
              <w:rPr>
                <w:b/>
                <w:bCs/>
                <w:color w:val="222222"/>
                <w:sz w:val="20"/>
                <w:szCs w:val="20"/>
              </w:rPr>
              <w:t>,00,000</w:t>
            </w:r>
          </w:p>
        </w:tc>
      </w:tr>
      <w:tr>
        <w:trPr/>
        <w:tc>
          <w:tcPr>
            <w:tcW w:w="3413" w:type="dxa"/>
            <w:tcBorders>
              <w:left w:val="single" w:sz="4" w:space="0" w:color="D9D2E9"/>
              <w:bottom w:val="single" w:sz="4" w:space="0" w:color="D9D2E9"/>
              <w:right w:val="single" w:sz="4" w:space="0" w:color="D9D2E9"/>
            </w:tcBorders>
          </w:tcPr>
          <w:p>
            <w:pPr>
              <w:pStyle w:val="Normal"/>
              <w:jc w:val="left"/>
              <w:rPr/>
            </w:pPr>
            <w:r>
              <w:rPr>
                <w:b/>
                <w:bCs/>
                <w:color w:val="222222"/>
                <w:sz w:val="20"/>
                <w:szCs w:val="20"/>
              </w:rPr>
              <w:t>Software Licence Package</w:t>
            </w:r>
          </w:p>
        </w:tc>
        <w:tc>
          <w:tcPr>
            <w:tcW w:w="3413" w:type="dxa"/>
            <w:tcBorders>
              <w:left w:val="single" w:sz="4" w:space="0" w:color="D9D2E9"/>
              <w:bottom w:val="single" w:sz="4" w:space="0" w:color="D9D2E9"/>
              <w:right w:val="single" w:sz="4" w:space="0" w:color="D9D2E9"/>
            </w:tcBorders>
          </w:tcPr>
          <w:p>
            <w:pPr>
              <w:pStyle w:val="Normal"/>
              <w:jc w:val="left"/>
              <w:rPr/>
            </w:pPr>
            <w:r>
              <w:rPr/>
              <w:t>Mobile Application for Sarangi Jewels</w:t>
            </w:r>
          </w:p>
        </w:tc>
        <w:tc>
          <w:tcPr>
            <w:tcW w:w="3414" w:type="dxa"/>
            <w:tcBorders>
              <w:left w:val="single" w:sz="4" w:space="0" w:color="D9D2E9"/>
              <w:bottom w:val="single" w:sz="4" w:space="0" w:color="D9D2E9"/>
              <w:right w:val="single" w:sz="4" w:space="0" w:color="D9D2E9"/>
            </w:tcBorders>
          </w:tcPr>
          <w:p>
            <w:pPr>
              <w:pStyle w:val="Normal"/>
              <w:jc w:val="right"/>
              <w:rPr/>
            </w:pPr>
            <w:r>
              <w:rPr>
                <w:b/>
                <w:bCs/>
                <w:color w:val="222222"/>
                <w:sz w:val="20"/>
                <w:szCs w:val="20"/>
              </w:rPr>
              <w:t>₹</w:t>
            </w:r>
            <w:r>
              <w:rPr>
                <w:b/>
                <w:bCs/>
                <w:color w:val="222222"/>
                <w:sz w:val="20"/>
                <w:szCs w:val="20"/>
              </w:rPr>
              <w:t>1</w:t>
            </w:r>
            <w:r>
              <w:rPr>
                <w:b/>
                <w:bCs/>
                <w:color w:val="222222"/>
                <w:sz w:val="20"/>
                <w:szCs w:val="20"/>
              </w:rPr>
              <w:t>,00,000</w:t>
            </w:r>
          </w:p>
        </w:tc>
      </w:tr>
      <w:tr>
        <w:trPr/>
        <w:tc>
          <w:tcPr>
            <w:tcW w:w="3413" w:type="dxa"/>
            <w:tcBorders>
              <w:top w:val="single" w:sz="4" w:space="0" w:color="D9D2E9"/>
              <w:left w:val="single" w:sz="4" w:space="0" w:color="D9D2E9"/>
              <w:bottom w:val="single" w:sz="4" w:space="0" w:color="D9D2E9"/>
              <w:right w:val="single" w:sz="4" w:space="0" w:color="D9D2E9"/>
            </w:tcBorders>
          </w:tcPr>
          <w:p>
            <w:pPr>
              <w:pStyle w:val="Normal"/>
              <w:jc w:val="left"/>
              <w:rPr/>
            </w:pPr>
            <w:r>
              <w:rPr>
                <w:b w:val="false"/>
                <w:bCs w:val="false"/>
                <w:color w:val="222222"/>
                <w:sz w:val="20"/>
                <w:szCs w:val="20"/>
              </w:rPr>
              <w:t>Source Code Transfer (Optional Add-on)</w:t>
            </w:r>
          </w:p>
        </w:tc>
        <w:tc>
          <w:tcPr>
            <w:tcW w:w="3413" w:type="dxa"/>
            <w:tcBorders>
              <w:top w:val="single" w:sz="4" w:space="0" w:color="D9D2E9"/>
              <w:left w:val="single" w:sz="4" w:space="0" w:color="D9D2E9"/>
              <w:bottom w:val="single" w:sz="4" w:space="0" w:color="D9D2E9"/>
              <w:right w:val="single" w:sz="4" w:space="0" w:color="D9D2E9"/>
            </w:tcBorders>
          </w:tcPr>
          <w:p>
            <w:pPr>
              <w:pStyle w:val="Normal"/>
              <w:jc w:val="left"/>
              <w:rPr/>
            </w:pPr>
            <w:r>
              <w:rPr>
                <w:b w:val="false"/>
                <w:bCs w:val="false"/>
                <w:color w:val="222222"/>
                <w:sz w:val="20"/>
                <w:szCs w:val="20"/>
              </w:rPr>
              <w:t>Full transfer of application source code and unrestricted ownership rights, on top of the software licence. Only available once the software licence amount is paid in full.</w:t>
            </w:r>
          </w:p>
        </w:tc>
        <w:tc>
          <w:tcPr>
            <w:tcW w:w="3414" w:type="dxa"/>
            <w:tcBorders>
              <w:top w:val="single" w:sz="4" w:space="0" w:color="D9D2E9"/>
              <w:left w:val="single" w:sz="4" w:space="0" w:color="D9D2E9"/>
              <w:bottom w:val="single" w:sz="4" w:space="0" w:color="D9D2E9"/>
              <w:right w:val="single" w:sz="4" w:space="0" w:color="D9D2E9"/>
            </w:tcBorders>
          </w:tcPr>
          <w:p>
            <w:pPr>
              <w:pStyle w:val="Normal"/>
              <w:jc w:val="right"/>
              <w:rPr/>
            </w:pPr>
            <w:r>
              <w:rPr>
                <w:b w:val="false"/>
                <w:bCs w:val="false"/>
                <w:color w:val="222222"/>
                <w:sz w:val="20"/>
                <w:szCs w:val="20"/>
              </w:rPr>
              <w:t>₹</w:t>
            </w:r>
            <w:r>
              <w:rPr>
                <w:b w:val="false"/>
                <w:bCs w:val="false"/>
                <w:color w:val="222222"/>
                <w:sz w:val="20"/>
                <w:szCs w:val="20"/>
              </w:rPr>
              <w:t>3,00</w:t>
            </w:r>
            <w:r>
              <w:rPr>
                <w:b w:val="false"/>
                <w:bCs w:val="false"/>
                <w:color w:val="222222"/>
                <w:sz w:val="20"/>
                <w:szCs w:val="20"/>
              </w:rPr>
              <w:t>,000</w:t>
            </w:r>
          </w:p>
        </w:tc>
      </w:tr>
      <w:tr>
        <w:trPr/>
        <w:tc>
          <w:tcPr>
            <w:tcW w:w="3413" w:type="dxa"/>
            <w:tcBorders>
              <w:top w:val="single" w:sz="4" w:space="0" w:color="D9D2E9"/>
              <w:left w:val="single" w:sz="4" w:space="0" w:color="D9D2E9"/>
              <w:bottom w:val="single" w:sz="4" w:space="0" w:color="D9D2E9"/>
              <w:right w:val="single" w:sz="4" w:space="0" w:color="D9D2E9"/>
            </w:tcBorders>
            <w:shd w:fill="F3EEF9" w:val="clear"/>
          </w:tcPr>
          <w:p>
            <w:pPr>
              <w:pStyle w:val="Normal"/>
              <w:jc w:val="left"/>
              <w:rPr/>
            </w:pPr>
            <w:r>
              <w:rPr>
                <w:b/>
                <w:bCs/>
                <w:color w:val="222222"/>
                <w:sz w:val="20"/>
                <w:szCs w:val="20"/>
              </w:rPr>
              <w:t>Subtotal (Software only)</w:t>
            </w:r>
          </w:p>
        </w:tc>
        <w:tc>
          <w:tcPr>
            <w:tcW w:w="3413" w:type="dxa"/>
            <w:tcBorders>
              <w:top w:val="single" w:sz="4" w:space="0" w:color="D9D2E9"/>
              <w:left w:val="single" w:sz="4" w:space="0" w:color="D9D2E9"/>
              <w:bottom w:val="single" w:sz="4" w:space="0" w:color="D9D2E9"/>
              <w:right w:val="single" w:sz="4" w:space="0" w:color="D9D2E9"/>
            </w:tcBorders>
            <w:shd w:fill="F3EEF9" w:val="clear"/>
          </w:tcPr>
          <w:p>
            <w:pPr>
              <w:pStyle w:val="Normal"/>
              <w:jc w:val="left"/>
              <w:rPr/>
            </w:pPr>
            <w:r>
              <w:rPr/>
            </w:r>
          </w:p>
        </w:tc>
        <w:tc>
          <w:tcPr>
            <w:tcW w:w="3414" w:type="dxa"/>
            <w:tcBorders>
              <w:top w:val="single" w:sz="4" w:space="0" w:color="D9D2E9"/>
              <w:left w:val="single" w:sz="4" w:space="0" w:color="D9D2E9"/>
              <w:bottom w:val="single" w:sz="4" w:space="0" w:color="D9D2E9"/>
              <w:right w:val="single" w:sz="4" w:space="0" w:color="D9D2E9"/>
            </w:tcBorders>
            <w:shd w:fill="F3EEF9" w:val="clear"/>
          </w:tcPr>
          <w:p>
            <w:pPr>
              <w:pStyle w:val="Normal"/>
              <w:jc w:val="right"/>
              <w:rPr/>
            </w:pPr>
            <w:r>
              <w:rPr>
                <w:b/>
                <w:bCs/>
                <w:color w:val="222222"/>
                <w:sz w:val="20"/>
                <w:szCs w:val="20"/>
              </w:rPr>
              <w:t>₹</w:t>
            </w:r>
            <w:r>
              <w:rPr>
                <w:b/>
                <w:bCs/>
                <w:color w:val="222222"/>
                <w:sz w:val="20"/>
                <w:szCs w:val="20"/>
              </w:rPr>
              <w:t>2,00,000</w:t>
            </w:r>
          </w:p>
        </w:tc>
      </w:tr>
      <w:tr>
        <w:trPr/>
        <w:tc>
          <w:tcPr>
            <w:tcW w:w="3413" w:type="dxa"/>
            <w:tcBorders>
              <w:top w:val="single" w:sz="4" w:space="0" w:color="D9D2E9"/>
              <w:left w:val="single" w:sz="4" w:space="0" w:color="D9D2E9"/>
              <w:bottom w:val="single" w:sz="4" w:space="0" w:color="D9D2E9"/>
              <w:right w:val="single" w:sz="4" w:space="0" w:color="D9D2E9"/>
            </w:tcBorders>
            <w:shd w:fill="F3EEF9" w:val="clear"/>
          </w:tcPr>
          <w:p>
            <w:pPr>
              <w:pStyle w:val="Normal"/>
              <w:jc w:val="left"/>
              <w:rPr/>
            </w:pPr>
            <w:r>
              <w:rPr>
                <w:b/>
                <w:bCs/>
                <w:color w:val="222222"/>
                <w:sz w:val="20"/>
                <w:szCs w:val="20"/>
              </w:rPr>
              <w:t>Subtotal (Software + Source Code)</w:t>
            </w:r>
          </w:p>
        </w:tc>
        <w:tc>
          <w:tcPr>
            <w:tcW w:w="3413" w:type="dxa"/>
            <w:tcBorders>
              <w:top w:val="single" w:sz="4" w:space="0" w:color="D9D2E9"/>
              <w:left w:val="single" w:sz="4" w:space="0" w:color="D9D2E9"/>
              <w:bottom w:val="single" w:sz="4" w:space="0" w:color="D9D2E9"/>
              <w:right w:val="single" w:sz="4" w:space="0" w:color="D9D2E9"/>
            </w:tcBorders>
            <w:shd w:fill="F3EEF9" w:val="clear"/>
          </w:tcPr>
          <w:p>
            <w:pPr>
              <w:pStyle w:val="Normal"/>
              <w:jc w:val="left"/>
              <w:rPr/>
            </w:pPr>
            <w:r>
              <w:rPr/>
            </w:r>
          </w:p>
        </w:tc>
        <w:tc>
          <w:tcPr>
            <w:tcW w:w="3414" w:type="dxa"/>
            <w:tcBorders>
              <w:top w:val="single" w:sz="4" w:space="0" w:color="D9D2E9"/>
              <w:left w:val="single" w:sz="4" w:space="0" w:color="D9D2E9"/>
              <w:bottom w:val="single" w:sz="4" w:space="0" w:color="D9D2E9"/>
              <w:right w:val="single" w:sz="4" w:space="0" w:color="D9D2E9"/>
            </w:tcBorders>
            <w:shd w:fill="F3EEF9" w:val="clear"/>
          </w:tcPr>
          <w:p>
            <w:pPr>
              <w:pStyle w:val="Normal"/>
              <w:jc w:val="right"/>
              <w:rPr/>
            </w:pPr>
            <w:r>
              <w:rPr>
                <w:b/>
                <w:bCs/>
                <w:color w:val="222222"/>
                <w:sz w:val="20"/>
                <w:szCs w:val="20"/>
              </w:rPr>
              <w:t>₹</w:t>
            </w:r>
            <w:r>
              <w:rPr>
                <w:b/>
                <w:bCs/>
                <w:color w:val="222222"/>
                <w:sz w:val="20"/>
                <w:szCs w:val="20"/>
              </w:rPr>
              <w:t>5</w:t>
            </w:r>
            <w:r>
              <w:rPr>
                <w:b/>
                <w:bCs/>
                <w:color w:val="222222"/>
                <w:sz w:val="20"/>
                <w:szCs w:val="20"/>
              </w:rPr>
              <w:t>,</w:t>
            </w:r>
            <w:r>
              <w:rPr>
                <w:b/>
                <w:bCs/>
                <w:color w:val="222222"/>
                <w:sz w:val="20"/>
                <w:szCs w:val="20"/>
              </w:rPr>
              <w:t>00</w:t>
            </w:r>
            <w:r>
              <w:rPr>
                <w:b/>
                <w:bCs/>
                <w:color w:val="222222"/>
                <w:sz w:val="20"/>
                <w:szCs w:val="20"/>
              </w:rPr>
              <w:t>,000</w:t>
            </w:r>
          </w:p>
        </w:tc>
      </w:tr>
    </w:tbl>
    <w:p>
      <w:pPr>
        <w:pStyle w:val="Normal"/>
        <w:spacing w:before="150" w:after="100"/>
        <w:rPr/>
      </w:pPr>
      <w:r>
        <w:rPr>
          <w:i/>
          <w:iCs/>
          <w:color w:val="595959"/>
          <w:sz w:val="18"/>
          <w:szCs w:val="18"/>
        </w:rPr>
        <w:t>Note: Prices above are exclusive of applicable GST/taxes, which will be added at the prevailing rate at the time of invoicing, if applicable. Third-party costs (domain, hosting, SMS/WhatsApp API usage, payment gateway MDR charges) are billed separately by those providers and are not included above.</w:t>
      </w:r>
    </w:p>
    <w:p>
      <w:pPr>
        <w:pStyle w:val="Normal"/>
        <w:spacing w:before="240" w:after="120"/>
        <w:rPr/>
      </w:pPr>
      <w:r>
        <w:rPr>
          <w:b/>
          <w:bCs/>
          <w:color w:val="4A148C"/>
          <w:sz w:val="24"/>
          <w:szCs w:val="24"/>
        </w:rPr>
        <w:t>3. Payment Options</w:t>
      </w:r>
    </w:p>
    <w:p>
      <w:pPr>
        <w:pStyle w:val="Normal"/>
        <w:spacing w:before="0" w:after="120"/>
        <w:rPr/>
      </w:pPr>
      <w:r>
        <w:rPr>
          <w:b/>
          <w:bCs/>
          <w:color w:val="4A148C"/>
          <w:sz w:val="21"/>
          <w:szCs w:val="21"/>
        </w:rPr>
        <w:t>Option A — Full Payment (Recommended)</w:t>
      </w:r>
    </w:p>
    <w:p>
      <w:pPr>
        <w:pStyle w:val="ListParagraph"/>
        <w:numPr>
          <w:ilvl w:val="0"/>
          <w:numId w:val="1"/>
        </w:numPr>
        <w:spacing w:before="0" w:after="60"/>
        <w:rPr/>
      </w:pPr>
      <w:r>
        <w:rPr>
          <w:sz w:val="21"/>
          <w:szCs w:val="21"/>
        </w:rPr>
        <w:t>₹</w:t>
      </w:r>
      <w:r>
        <w:rPr>
          <w:sz w:val="21"/>
          <w:szCs w:val="21"/>
        </w:rPr>
        <w:t>2,00,000 payable in full on signing of the Sale Agreement, before deployment begins.</w:t>
      </w:r>
    </w:p>
    <w:p>
      <w:pPr>
        <w:pStyle w:val="ListParagraph"/>
        <w:numPr>
          <w:ilvl w:val="0"/>
          <w:numId w:val="1"/>
        </w:numPr>
        <w:spacing w:before="0" w:after="60"/>
        <w:rPr/>
      </w:pPr>
      <w:r>
        <w:rPr>
          <w:sz w:val="21"/>
          <w:szCs w:val="21"/>
        </w:rPr>
        <w:t>Source code add-on of ₹75,000 (if opted for) is payable separately, after the software licence is paid in full.</w:t>
      </w:r>
    </w:p>
    <w:p>
      <w:pPr>
        <w:pStyle w:val="Normal"/>
        <w:spacing w:before="0" w:after="120"/>
        <w:rPr/>
      </w:pPr>
      <w:r>
        <w:rPr>
          <w:b/>
          <w:bCs/>
          <w:color w:val="4A148C"/>
          <w:sz w:val="21"/>
          <w:szCs w:val="21"/>
        </w:rPr>
        <w:t>Option B — Monthly Instalment Plans</w:t>
      </w:r>
    </w:p>
    <w:p>
      <w:pPr>
        <w:pStyle w:val="Normal"/>
        <w:spacing w:before="0" w:after="120"/>
        <w:rPr/>
      </w:pPr>
      <w:r>
        <w:rPr>
          <w:color w:val="222222"/>
          <w:sz w:val="21"/>
          <w:szCs w:val="21"/>
        </w:rPr>
        <w:t>For clients who prefer to spread the cost, the following instalment plans are available on the ₹2,00,000 software licence. A deferred-payment charge applies to instalment plans to cover extended support and administrative cost; the source code add-on is not eligible for instalments and is payable in full at the time it is opted for.</w:t>
      </w:r>
    </w:p>
    <w:tbl>
      <w:tblPr>
        <w:tblW w:w="5000" w:type="pct"/>
        <w:jc w:val="left"/>
        <w:tblInd w:w="0" w:type="dxa"/>
        <w:tblLayout w:type="fixed"/>
        <w:tblCellMar>
          <w:top w:w="100" w:type="dxa"/>
          <w:left w:w="150" w:type="dxa"/>
          <w:bottom w:w="100" w:type="dxa"/>
          <w:right w:w="150" w:type="dxa"/>
        </w:tblCellMar>
      </w:tblPr>
      <w:tblGrid>
        <w:gridCol w:w="2048"/>
        <w:gridCol w:w="2048"/>
        <w:gridCol w:w="2048"/>
        <w:gridCol w:w="2048"/>
        <w:gridCol w:w="2048"/>
      </w:tblGrid>
      <w:tr>
        <w:trPr/>
        <w:tc>
          <w:tcPr>
            <w:tcW w:w="2048" w:type="dxa"/>
            <w:tcBorders>
              <w:top w:val="single" w:sz="4" w:space="0" w:color="D9D2E9"/>
              <w:left w:val="single" w:sz="4" w:space="0" w:color="D9D2E9"/>
              <w:bottom w:val="single" w:sz="4" w:space="0" w:color="D9D2E9"/>
              <w:right w:val="single" w:sz="4" w:space="0" w:color="D9D2E9"/>
            </w:tcBorders>
            <w:shd w:fill="4A148C" w:val="clear"/>
          </w:tcPr>
          <w:p>
            <w:pPr>
              <w:pStyle w:val="Normal"/>
              <w:jc w:val="left"/>
              <w:rPr/>
            </w:pPr>
            <w:r>
              <w:rPr>
                <w:b/>
                <w:bCs/>
                <w:color w:val="FFFFFF"/>
                <w:sz w:val="20"/>
                <w:szCs w:val="20"/>
              </w:rPr>
              <w:t>Plan</w:t>
            </w:r>
          </w:p>
        </w:tc>
        <w:tc>
          <w:tcPr>
            <w:tcW w:w="2048" w:type="dxa"/>
            <w:tcBorders>
              <w:top w:val="single" w:sz="4" w:space="0" w:color="D9D2E9"/>
              <w:left w:val="single" w:sz="4" w:space="0" w:color="D9D2E9"/>
              <w:bottom w:val="single" w:sz="4" w:space="0" w:color="D9D2E9"/>
              <w:right w:val="single" w:sz="4" w:space="0" w:color="D9D2E9"/>
            </w:tcBorders>
            <w:shd w:fill="4A148C" w:val="clear"/>
          </w:tcPr>
          <w:p>
            <w:pPr>
              <w:pStyle w:val="Normal"/>
              <w:jc w:val="right"/>
              <w:rPr/>
            </w:pPr>
            <w:r>
              <w:rPr>
                <w:b/>
                <w:bCs/>
                <w:color w:val="FFFFFF"/>
                <w:sz w:val="20"/>
                <w:szCs w:val="20"/>
              </w:rPr>
              <w:t>Down Payment</w:t>
            </w:r>
          </w:p>
        </w:tc>
        <w:tc>
          <w:tcPr>
            <w:tcW w:w="2048" w:type="dxa"/>
            <w:tcBorders>
              <w:top w:val="single" w:sz="4" w:space="0" w:color="D9D2E9"/>
              <w:left w:val="single" w:sz="4" w:space="0" w:color="D9D2E9"/>
              <w:bottom w:val="single" w:sz="4" w:space="0" w:color="D9D2E9"/>
              <w:right w:val="single" w:sz="4" w:space="0" w:color="D9D2E9"/>
            </w:tcBorders>
            <w:shd w:fill="4A148C" w:val="clear"/>
          </w:tcPr>
          <w:p>
            <w:pPr>
              <w:pStyle w:val="Normal"/>
              <w:jc w:val="right"/>
              <w:rPr/>
            </w:pPr>
            <w:r>
              <w:rPr>
                <w:b/>
                <w:bCs/>
                <w:color w:val="FFFFFF"/>
                <w:sz w:val="20"/>
                <w:szCs w:val="20"/>
              </w:rPr>
              <w:t>Monthly Instalment</w:t>
            </w:r>
          </w:p>
        </w:tc>
        <w:tc>
          <w:tcPr>
            <w:tcW w:w="2048" w:type="dxa"/>
            <w:tcBorders>
              <w:top w:val="single" w:sz="4" w:space="0" w:color="D9D2E9"/>
              <w:left w:val="single" w:sz="4" w:space="0" w:color="D9D2E9"/>
              <w:bottom w:val="single" w:sz="4" w:space="0" w:color="D9D2E9"/>
              <w:right w:val="single" w:sz="4" w:space="0" w:color="D9D2E9"/>
            </w:tcBorders>
            <w:shd w:fill="4A148C" w:val="clear"/>
          </w:tcPr>
          <w:p>
            <w:pPr>
              <w:pStyle w:val="Normal"/>
              <w:jc w:val="right"/>
              <w:rPr/>
            </w:pPr>
            <w:r>
              <w:rPr>
                <w:b/>
                <w:bCs/>
                <w:color w:val="FFFFFF"/>
                <w:sz w:val="20"/>
                <w:szCs w:val="20"/>
              </w:rPr>
              <w:t>Duration</w:t>
            </w:r>
          </w:p>
        </w:tc>
        <w:tc>
          <w:tcPr>
            <w:tcW w:w="2048" w:type="dxa"/>
            <w:tcBorders>
              <w:top w:val="single" w:sz="4" w:space="0" w:color="D9D2E9"/>
              <w:left w:val="single" w:sz="4" w:space="0" w:color="D9D2E9"/>
              <w:bottom w:val="single" w:sz="4" w:space="0" w:color="D9D2E9"/>
              <w:right w:val="single" w:sz="4" w:space="0" w:color="D9D2E9"/>
            </w:tcBorders>
            <w:shd w:fill="4A148C" w:val="clear"/>
          </w:tcPr>
          <w:p>
            <w:pPr>
              <w:pStyle w:val="Normal"/>
              <w:jc w:val="right"/>
              <w:rPr/>
            </w:pPr>
            <w:r>
              <w:rPr>
                <w:b/>
                <w:bCs/>
                <w:color w:val="FFFFFF"/>
                <w:sz w:val="20"/>
                <w:szCs w:val="20"/>
              </w:rPr>
              <w:t>Total Payable</w:t>
            </w:r>
          </w:p>
        </w:tc>
      </w:tr>
      <w:tr>
        <w:trPr/>
        <w:tc>
          <w:tcPr>
            <w:tcW w:w="2048" w:type="dxa"/>
            <w:tcBorders>
              <w:top w:val="single" w:sz="4" w:space="0" w:color="D9D2E9"/>
              <w:left w:val="single" w:sz="4" w:space="0" w:color="D9D2E9"/>
              <w:bottom w:val="single" w:sz="4" w:space="0" w:color="D9D2E9"/>
              <w:right w:val="single" w:sz="4" w:space="0" w:color="D9D2E9"/>
            </w:tcBorders>
          </w:tcPr>
          <w:p>
            <w:pPr>
              <w:pStyle w:val="Normal"/>
              <w:jc w:val="left"/>
              <w:rPr/>
            </w:pPr>
            <w:r>
              <w:rPr>
                <w:b w:val="false"/>
                <w:bCs w:val="false"/>
                <w:color w:val="222222"/>
                <w:sz w:val="20"/>
                <w:szCs w:val="20"/>
              </w:rPr>
              <w:t>3-Month Plan</w:t>
            </w:r>
          </w:p>
        </w:tc>
        <w:tc>
          <w:tcPr>
            <w:tcW w:w="2048" w:type="dxa"/>
            <w:tcBorders>
              <w:top w:val="single" w:sz="4" w:space="0" w:color="D9D2E9"/>
              <w:left w:val="single" w:sz="4" w:space="0" w:color="D9D2E9"/>
              <w:bottom w:val="single" w:sz="4" w:space="0" w:color="D9D2E9"/>
              <w:right w:val="single" w:sz="4" w:space="0" w:color="D9D2E9"/>
            </w:tcBorders>
          </w:tcPr>
          <w:p>
            <w:pPr>
              <w:pStyle w:val="Normal"/>
              <w:jc w:val="right"/>
              <w:rPr/>
            </w:pPr>
            <w:r>
              <w:rPr>
                <w:b w:val="false"/>
                <w:bCs w:val="false"/>
                <w:color w:val="222222"/>
                <w:sz w:val="20"/>
                <w:szCs w:val="20"/>
              </w:rPr>
              <w:t>₹</w:t>
            </w:r>
            <w:r>
              <w:rPr>
                <w:b w:val="false"/>
                <w:bCs w:val="false"/>
                <w:color w:val="222222"/>
                <w:sz w:val="20"/>
                <w:szCs w:val="20"/>
              </w:rPr>
              <w:t>90,000</w:t>
            </w:r>
          </w:p>
        </w:tc>
        <w:tc>
          <w:tcPr>
            <w:tcW w:w="2048" w:type="dxa"/>
            <w:tcBorders>
              <w:top w:val="single" w:sz="4" w:space="0" w:color="D9D2E9"/>
              <w:left w:val="single" w:sz="4" w:space="0" w:color="D9D2E9"/>
              <w:bottom w:val="single" w:sz="4" w:space="0" w:color="D9D2E9"/>
              <w:right w:val="single" w:sz="4" w:space="0" w:color="D9D2E9"/>
            </w:tcBorders>
          </w:tcPr>
          <w:p>
            <w:pPr>
              <w:pStyle w:val="Normal"/>
              <w:jc w:val="right"/>
              <w:rPr/>
            </w:pPr>
            <w:r>
              <w:rPr>
                <w:b w:val="false"/>
                <w:bCs w:val="false"/>
                <w:color w:val="222222"/>
                <w:sz w:val="20"/>
                <w:szCs w:val="20"/>
              </w:rPr>
              <w:t>₹</w:t>
            </w:r>
            <w:r>
              <w:rPr>
                <w:b w:val="false"/>
                <w:bCs w:val="false"/>
                <w:color w:val="222222"/>
                <w:sz w:val="20"/>
                <w:szCs w:val="20"/>
              </w:rPr>
              <w:t>60,000 × 2</w:t>
            </w:r>
          </w:p>
        </w:tc>
        <w:tc>
          <w:tcPr>
            <w:tcW w:w="2048" w:type="dxa"/>
            <w:tcBorders>
              <w:top w:val="single" w:sz="4" w:space="0" w:color="D9D2E9"/>
              <w:left w:val="single" w:sz="4" w:space="0" w:color="D9D2E9"/>
              <w:bottom w:val="single" w:sz="4" w:space="0" w:color="D9D2E9"/>
              <w:right w:val="single" w:sz="4" w:space="0" w:color="D9D2E9"/>
            </w:tcBorders>
          </w:tcPr>
          <w:p>
            <w:pPr>
              <w:pStyle w:val="Normal"/>
              <w:jc w:val="right"/>
              <w:rPr/>
            </w:pPr>
            <w:r>
              <w:rPr>
                <w:b w:val="false"/>
                <w:bCs w:val="false"/>
                <w:color w:val="222222"/>
                <w:sz w:val="20"/>
                <w:szCs w:val="20"/>
              </w:rPr>
              <w:t>3 months</w:t>
            </w:r>
          </w:p>
        </w:tc>
        <w:tc>
          <w:tcPr>
            <w:tcW w:w="2048" w:type="dxa"/>
            <w:tcBorders>
              <w:top w:val="single" w:sz="4" w:space="0" w:color="D9D2E9"/>
              <w:left w:val="single" w:sz="4" w:space="0" w:color="D9D2E9"/>
              <w:bottom w:val="single" w:sz="4" w:space="0" w:color="D9D2E9"/>
              <w:right w:val="single" w:sz="4" w:space="0" w:color="D9D2E9"/>
            </w:tcBorders>
          </w:tcPr>
          <w:p>
            <w:pPr>
              <w:pStyle w:val="Normal"/>
              <w:jc w:val="right"/>
              <w:rPr/>
            </w:pPr>
            <w:r>
              <w:rPr>
                <w:b/>
                <w:bCs/>
                <w:color w:val="222222"/>
                <w:sz w:val="20"/>
                <w:szCs w:val="20"/>
              </w:rPr>
              <w:t>₹</w:t>
            </w:r>
            <w:r>
              <w:rPr>
                <w:b/>
                <w:bCs/>
                <w:color w:val="222222"/>
                <w:sz w:val="20"/>
                <w:szCs w:val="20"/>
              </w:rPr>
              <w:t>2,10,000</w:t>
            </w:r>
          </w:p>
        </w:tc>
      </w:tr>
      <w:tr>
        <w:trPr/>
        <w:tc>
          <w:tcPr>
            <w:tcW w:w="2048" w:type="dxa"/>
            <w:tcBorders>
              <w:top w:val="single" w:sz="4" w:space="0" w:color="D9D2E9"/>
              <w:left w:val="single" w:sz="4" w:space="0" w:color="D9D2E9"/>
              <w:bottom w:val="single" w:sz="4" w:space="0" w:color="D9D2E9"/>
              <w:right w:val="single" w:sz="4" w:space="0" w:color="D9D2E9"/>
            </w:tcBorders>
          </w:tcPr>
          <w:p>
            <w:pPr>
              <w:pStyle w:val="Normal"/>
              <w:jc w:val="left"/>
              <w:rPr/>
            </w:pPr>
            <w:r>
              <w:rPr>
                <w:b w:val="false"/>
                <w:bCs w:val="false"/>
                <w:color w:val="222222"/>
                <w:sz w:val="20"/>
                <w:szCs w:val="20"/>
              </w:rPr>
              <w:t>6-Month Plan</w:t>
            </w:r>
          </w:p>
        </w:tc>
        <w:tc>
          <w:tcPr>
            <w:tcW w:w="2048" w:type="dxa"/>
            <w:tcBorders>
              <w:top w:val="single" w:sz="4" w:space="0" w:color="D9D2E9"/>
              <w:left w:val="single" w:sz="4" w:space="0" w:color="D9D2E9"/>
              <w:bottom w:val="single" w:sz="4" w:space="0" w:color="D9D2E9"/>
              <w:right w:val="single" w:sz="4" w:space="0" w:color="D9D2E9"/>
            </w:tcBorders>
          </w:tcPr>
          <w:p>
            <w:pPr>
              <w:pStyle w:val="Normal"/>
              <w:jc w:val="right"/>
              <w:rPr/>
            </w:pPr>
            <w:r>
              <w:rPr>
                <w:b w:val="false"/>
                <w:bCs w:val="false"/>
                <w:color w:val="222222"/>
                <w:sz w:val="20"/>
                <w:szCs w:val="20"/>
              </w:rPr>
              <w:t>₹</w:t>
            </w:r>
            <w:r>
              <w:rPr>
                <w:b w:val="false"/>
                <w:bCs w:val="false"/>
                <w:color w:val="222222"/>
                <w:sz w:val="20"/>
                <w:szCs w:val="20"/>
              </w:rPr>
              <w:t>70,000</w:t>
            </w:r>
          </w:p>
        </w:tc>
        <w:tc>
          <w:tcPr>
            <w:tcW w:w="2048" w:type="dxa"/>
            <w:tcBorders>
              <w:top w:val="single" w:sz="4" w:space="0" w:color="D9D2E9"/>
              <w:left w:val="single" w:sz="4" w:space="0" w:color="D9D2E9"/>
              <w:bottom w:val="single" w:sz="4" w:space="0" w:color="D9D2E9"/>
              <w:right w:val="single" w:sz="4" w:space="0" w:color="D9D2E9"/>
            </w:tcBorders>
          </w:tcPr>
          <w:p>
            <w:pPr>
              <w:pStyle w:val="Normal"/>
              <w:jc w:val="right"/>
              <w:rPr/>
            </w:pPr>
            <w:r>
              <w:rPr>
                <w:b w:val="false"/>
                <w:bCs w:val="false"/>
                <w:color w:val="222222"/>
                <w:sz w:val="20"/>
                <w:szCs w:val="20"/>
              </w:rPr>
              <w:t>₹</w:t>
            </w:r>
            <w:r>
              <w:rPr>
                <w:b w:val="false"/>
                <w:bCs w:val="false"/>
                <w:color w:val="222222"/>
                <w:sz w:val="20"/>
                <w:szCs w:val="20"/>
              </w:rPr>
              <w:t>25,000 × 6</w:t>
            </w:r>
          </w:p>
        </w:tc>
        <w:tc>
          <w:tcPr>
            <w:tcW w:w="2048" w:type="dxa"/>
            <w:tcBorders>
              <w:top w:val="single" w:sz="4" w:space="0" w:color="D9D2E9"/>
              <w:left w:val="single" w:sz="4" w:space="0" w:color="D9D2E9"/>
              <w:bottom w:val="single" w:sz="4" w:space="0" w:color="D9D2E9"/>
              <w:right w:val="single" w:sz="4" w:space="0" w:color="D9D2E9"/>
            </w:tcBorders>
          </w:tcPr>
          <w:p>
            <w:pPr>
              <w:pStyle w:val="Normal"/>
              <w:jc w:val="right"/>
              <w:rPr/>
            </w:pPr>
            <w:r>
              <w:rPr>
                <w:b w:val="false"/>
                <w:bCs w:val="false"/>
                <w:color w:val="222222"/>
                <w:sz w:val="20"/>
                <w:szCs w:val="20"/>
              </w:rPr>
              <w:t>6 months</w:t>
            </w:r>
          </w:p>
        </w:tc>
        <w:tc>
          <w:tcPr>
            <w:tcW w:w="2048" w:type="dxa"/>
            <w:tcBorders>
              <w:top w:val="single" w:sz="4" w:space="0" w:color="D9D2E9"/>
              <w:left w:val="single" w:sz="4" w:space="0" w:color="D9D2E9"/>
              <w:bottom w:val="single" w:sz="4" w:space="0" w:color="D9D2E9"/>
              <w:right w:val="single" w:sz="4" w:space="0" w:color="D9D2E9"/>
            </w:tcBorders>
          </w:tcPr>
          <w:p>
            <w:pPr>
              <w:pStyle w:val="Normal"/>
              <w:jc w:val="right"/>
              <w:rPr/>
            </w:pPr>
            <w:r>
              <w:rPr>
                <w:b/>
                <w:bCs/>
                <w:color w:val="222222"/>
                <w:sz w:val="20"/>
                <w:szCs w:val="20"/>
              </w:rPr>
              <w:t>₹</w:t>
            </w:r>
            <w:r>
              <w:rPr>
                <w:b/>
                <w:bCs/>
                <w:color w:val="222222"/>
                <w:sz w:val="20"/>
                <w:szCs w:val="20"/>
              </w:rPr>
              <w:t>2,20,000</w:t>
            </w:r>
          </w:p>
        </w:tc>
      </w:tr>
      <w:tr>
        <w:trPr/>
        <w:tc>
          <w:tcPr>
            <w:tcW w:w="2048" w:type="dxa"/>
            <w:tcBorders>
              <w:top w:val="single" w:sz="4" w:space="0" w:color="D9D2E9"/>
              <w:left w:val="single" w:sz="4" w:space="0" w:color="D9D2E9"/>
              <w:bottom w:val="single" w:sz="4" w:space="0" w:color="D9D2E9"/>
              <w:right w:val="single" w:sz="4" w:space="0" w:color="D9D2E9"/>
            </w:tcBorders>
          </w:tcPr>
          <w:p>
            <w:pPr>
              <w:pStyle w:val="Normal"/>
              <w:jc w:val="left"/>
              <w:rPr/>
            </w:pPr>
            <w:r>
              <w:rPr>
                <w:b w:val="false"/>
                <w:bCs w:val="false"/>
                <w:color w:val="222222"/>
                <w:sz w:val="20"/>
                <w:szCs w:val="20"/>
              </w:rPr>
              <w:t>12-Month Plan</w:t>
            </w:r>
          </w:p>
        </w:tc>
        <w:tc>
          <w:tcPr>
            <w:tcW w:w="2048" w:type="dxa"/>
            <w:tcBorders>
              <w:top w:val="single" w:sz="4" w:space="0" w:color="D9D2E9"/>
              <w:left w:val="single" w:sz="4" w:space="0" w:color="D9D2E9"/>
              <w:bottom w:val="single" w:sz="4" w:space="0" w:color="D9D2E9"/>
              <w:right w:val="single" w:sz="4" w:space="0" w:color="D9D2E9"/>
            </w:tcBorders>
          </w:tcPr>
          <w:p>
            <w:pPr>
              <w:pStyle w:val="Normal"/>
              <w:jc w:val="right"/>
              <w:rPr/>
            </w:pPr>
            <w:r>
              <w:rPr>
                <w:b w:val="false"/>
                <w:bCs w:val="false"/>
                <w:color w:val="222222"/>
                <w:sz w:val="20"/>
                <w:szCs w:val="20"/>
              </w:rPr>
              <w:t>₹</w:t>
            </w:r>
            <w:r>
              <w:rPr>
                <w:b w:val="false"/>
                <w:bCs w:val="false"/>
                <w:color w:val="222222"/>
                <w:sz w:val="20"/>
                <w:szCs w:val="20"/>
              </w:rPr>
              <w:t>60,000</w:t>
            </w:r>
          </w:p>
        </w:tc>
        <w:tc>
          <w:tcPr>
            <w:tcW w:w="2048" w:type="dxa"/>
            <w:tcBorders>
              <w:top w:val="single" w:sz="4" w:space="0" w:color="D9D2E9"/>
              <w:left w:val="single" w:sz="4" w:space="0" w:color="D9D2E9"/>
              <w:bottom w:val="single" w:sz="4" w:space="0" w:color="D9D2E9"/>
              <w:right w:val="single" w:sz="4" w:space="0" w:color="D9D2E9"/>
            </w:tcBorders>
          </w:tcPr>
          <w:p>
            <w:pPr>
              <w:pStyle w:val="Normal"/>
              <w:jc w:val="right"/>
              <w:rPr/>
            </w:pPr>
            <w:r>
              <w:rPr>
                <w:b w:val="false"/>
                <w:bCs w:val="false"/>
                <w:color w:val="222222"/>
                <w:sz w:val="20"/>
                <w:szCs w:val="20"/>
              </w:rPr>
              <w:t>₹</w:t>
            </w:r>
            <w:r>
              <w:rPr>
                <w:b w:val="false"/>
                <w:bCs w:val="false"/>
                <w:color w:val="222222"/>
                <w:sz w:val="20"/>
                <w:szCs w:val="20"/>
              </w:rPr>
              <w:t>15,000 × 12</w:t>
            </w:r>
          </w:p>
        </w:tc>
        <w:tc>
          <w:tcPr>
            <w:tcW w:w="2048" w:type="dxa"/>
            <w:tcBorders>
              <w:top w:val="single" w:sz="4" w:space="0" w:color="D9D2E9"/>
              <w:left w:val="single" w:sz="4" w:space="0" w:color="D9D2E9"/>
              <w:bottom w:val="single" w:sz="4" w:space="0" w:color="D9D2E9"/>
              <w:right w:val="single" w:sz="4" w:space="0" w:color="D9D2E9"/>
            </w:tcBorders>
          </w:tcPr>
          <w:p>
            <w:pPr>
              <w:pStyle w:val="Normal"/>
              <w:jc w:val="right"/>
              <w:rPr/>
            </w:pPr>
            <w:r>
              <w:rPr>
                <w:b w:val="false"/>
                <w:bCs w:val="false"/>
                <w:color w:val="222222"/>
                <w:sz w:val="20"/>
                <w:szCs w:val="20"/>
              </w:rPr>
              <w:t>12 months</w:t>
            </w:r>
          </w:p>
        </w:tc>
        <w:tc>
          <w:tcPr>
            <w:tcW w:w="2048" w:type="dxa"/>
            <w:tcBorders>
              <w:top w:val="single" w:sz="4" w:space="0" w:color="D9D2E9"/>
              <w:left w:val="single" w:sz="4" w:space="0" w:color="D9D2E9"/>
              <w:bottom w:val="single" w:sz="4" w:space="0" w:color="D9D2E9"/>
              <w:right w:val="single" w:sz="4" w:space="0" w:color="D9D2E9"/>
            </w:tcBorders>
          </w:tcPr>
          <w:p>
            <w:pPr>
              <w:pStyle w:val="Normal"/>
              <w:jc w:val="right"/>
              <w:rPr/>
            </w:pPr>
            <w:r>
              <w:rPr>
                <w:b/>
                <w:bCs/>
                <w:color w:val="222222"/>
                <w:sz w:val="20"/>
                <w:szCs w:val="20"/>
              </w:rPr>
              <w:t>₹</w:t>
            </w:r>
            <w:r>
              <w:rPr>
                <w:b/>
                <w:bCs/>
                <w:color w:val="222222"/>
                <w:sz w:val="20"/>
                <w:szCs w:val="20"/>
              </w:rPr>
              <w:t>2,40,000</w:t>
            </w:r>
          </w:p>
        </w:tc>
      </w:tr>
    </w:tbl>
    <w:p>
      <w:pPr>
        <w:pStyle w:val="Normal"/>
        <w:spacing w:before="150" w:after="100"/>
        <w:rPr/>
      </w:pPr>
      <w:r>
        <w:rPr>
          <w:color w:val="595959"/>
          <w:sz w:val="18"/>
          <w:szCs w:val="18"/>
        </w:rPr>
        <w:t>Instalment terms: The down payment is due on signing and before deployment begins. Monthly instalments are due on the same calendar date each month, starting one month after go-live. Software access/support may be paused if an instalment is delayed beyond 15 days, as detailed in the Sale Agreement. Full source code is transferred only after every instalment (including the source code add-on, if opted for) has been paid.</w:t>
      </w:r>
    </w:p>
    <w:p>
      <w:pPr>
        <w:pStyle w:val="Normal"/>
        <w:spacing w:before="240" w:after="120"/>
        <w:rPr/>
      </w:pPr>
      <w:r>
        <w:rPr>
          <w:b/>
          <w:bCs/>
          <w:color w:val="4A148C"/>
          <w:sz w:val="24"/>
          <w:szCs w:val="24"/>
        </w:rPr>
        <w:t>4. What Happens Next</w:t>
      </w:r>
    </w:p>
    <w:p>
      <w:pPr>
        <w:pStyle w:val="ListParagraph"/>
        <w:numPr>
          <w:ilvl w:val="0"/>
          <w:numId w:val="1"/>
        </w:numPr>
        <w:spacing w:before="0" w:after="60"/>
        <w:rPr/>
      </w:pPr>
      <w:r>
        <w:rPr>
          <w:sz w:val="21"/>
          <w:szCs w:val="21"/>
        </w:rPr>
        <w:t>Client selects Option A (full payment) or one of the instalment plans in Option B.</w:t>
      </w:r>
    </w:p>
    <w:p>
      <w:pPr>
        <w:pStyle w:val="ListParagraph"/>
        <w:numPr>
          <w:ilvl w:val="0"/>
          <w:numId w:val="1"/>
        </w:numPr>
        <w:spacing w:before="0" w:after="60"/>
        <w:rPr/>
      </w:pPr>
      <w:r>
        <w:rPr>
          <w:sz w:val="21"/>
          <w:szCs w:val="21"/>
        </w:rPr>
        <w:t>Both parties sign the accompanying Sale Agreement.</w:t>
      </w:r>
    </w:p>
    <w:p>
      <w:pPr>
        <w:pStyle w:val="ListParagraph"/>
        <w:numPr>
          <w:ilvl w:val="0"/>
          <w:numId w:val="1"/>
        </w:numPr>
        <w:spacing w:before="0" w:after="60"/>
        <w:rPr/>
      </w:pPr>
      <w:r>
        <w:rPr>
          <w:sz w:val="21"/>
          <w:szCs w:val="21"/>
        </w:rPr>
        <w:t>Down payment / full payment is made via the agreed mode (bank transfer / UPI / cheque).</w:t>
      </w:r>
    </w:p>
    <w:p>
      <w:pPr>
        <w:pStyle w:val="ListParagraph"/>
        <w:numPr>
          <w:ilvl w:val="0"/>
          <w:numId w:val="1"/>
        </w:numPr>
        <w:spacing w:before="0" w:after="60"/>
        <w:rPr/>
      </w:pPr>
      <w:r>
        <w:rPr>
          <w:sz w:val="21"/>
          <w:szCs w:val="21"/>
        </w:rPr>
        <w:t>Deployment, catalog setup, and staff training are scheduled and completed.</w:t>
      </w:r>
    </w:p>
    <w:p>
      <w:pPr>
        <w:pStyle w:val="ListParagraph"/>
        <w:numPr>
          <w:ilvl w:val="0"/>
          <w:numId w:val="1"/>
        </w:numPr>
        <w:spacing w:before="0" w:after="60"/>
        <w:rPr/>
      </w:pPr>
      <w:r>
        <w:rPr>
          <w:sz w:val="21"/>
          <w:szCs w:val="21"/>
        </w:rPr>
        <w:t>Platform goes live; post-launch support period begins as per the Sale Agreement.</w:t>
      </w:r>
    </w:p>
    <w:p>
      <w:pPr>
        <w:pStyle w:val="Normal"/>
        <w:spacing w:before="300" w:after="0"/>
        <w:rPr/>
      </w:pPr>
      <w:r>
        <w:rPr>
          <w:i/>
          <w:iCs/>
          <w:color w:val="595959"/>
          <w:sz w:val="18"/>
          <w:szCs w:val="18"/>
        </w:rPr>
        <w:t>This quotation is valid for 30 days from the date above. Prices, inclusions, and instalment terms are subject to confirmation in the final signed Sale Agreement.</w:t>
      </w:r>
    </w:p>
    <w:sectPr>
      <w:type w:val="nextPage"/>
      <w:pgSz w:w="12240" w:h="15840"/>
      <w:pgMar w:left="1000" w:right="1000" w:gutter="0" w:header="0" w:top="900" w:footer="0" w:bottom="90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FreeSans"/>
        <w:lang w:val="en-IN"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Noto Serif CJK SC" w:cs="FreeSans"/>
      <w:color w:val="auto"/>
      <w:kern w:val="0"/>
      <w:sz w:val="20"/>
      <w:szCs w:val="20"/>
      <w:lang w:val="en-IN"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Times New Roman" w:hAnsi="Times New Roman" w:eastAsia="Noto Serif CJK SC" w:cs="FreeSans"/>
      <w:b/>
      <w:bCs/>
      <w:color w:val="auto"/>
      <w:kern w:val="0"/>
      <w:sz w:val="20"/>
      <w:szCs w:val="20"/>
      <w:lang w:val="en-IN" w:eastAsia="zh-CN" w:bidi="hi-IN"/>
    </w:rPr>
  </w:style>
  <w:style w:type="paragraph" w:styleId="ListParagraph">
    <w:name w:val="List Paragraph"/>
    <w:qFormat/>
    <w:pPr>
      <w:widowControl/>
      <w:bidi w:val="0"/>
      <w:spacing w:before="0" w:after="0"/>
      <w:jc w:val="left"/>
    </w:pPr>
    <w:rPr>
      <w:rFonts w:ascii="Times New Roman" w:hAnsi="Times New Roman" w:eastAsia="Noto Serif CJK SC" w:cs="FreeSans"/>
      <w:color w:val="auto"/>
      <w:kern w:val="0"/>
      <w:sz w:val="20"/>
      <w:szCs w:val="20"/>
      <w:lang w:val="en-IN"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TotalTime>
  <Application>LibreOffice/25.2.3.2$Linux_X86_64 LibreOffice_project/520$Build-2</Application>
  <AppVersion>15.0000</AppVersion>
  <Pages>2</Pages>
  <Words>603</Words>
  <Characters>3424</Characters>
  <CharactersWithSpaces>3942</CharactersWithSpaces>
  <Paragraphs>78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2026-09-12T03:20:41Z</dcterms:created>
  <dc:creator>Un-named</dc:creator>
  <dc:description/>
  <dc:language>en-IN</dc:language>
  <cp:lastModifiedBy/>
  <dcterms:modified xsi:type="dcterms:W3CDTF">2026-09-13T07:57:25Z</dcterms:modified>
  <cp:revision>3</cp:revision>
  <dc:subject/>
  <dc:title/>
</cp:coreProperties>
</file>