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4A148C"/>
          <w:sz w:val="32"/>
          <w:szCs w:val="32"/>
        </w:rPr>
        <w:t>SOFTWARE SALE AGREEMENT</w:t>
      </w:r>
    </w:p>
    <w:p>
      <w:pPr>
        <w:pStyle w:val="Normal"/>
        <w:spacing w:before="0" w:after="300"/>
        <w:jc w:val="center"/>
        <w:rPr/>
      </w:pPr>
      <w:r>
        <w:rPr>
          <w:i/>
          <w:iCs/>
          <w:color w:val="595959"/>
          <w:sz w:val="22"/>
          <w:szCs w:val="22"/>
        </w:rPr>
        <w:t>Sarangi Jewels E-Commerce &amp; Business Management Platform</w:t>
      </w:r>
    </w:p>
    <w:p>
      <w:pPr>
        <w:pStyle w:val="Normal"/>
        <w:spacing w:before="0" w:after="120"/>
        <w:jc w:val="both"/>
        <w:rPr/>
      </w:pPr>
      <w:r>
        <w:rPr>
          <w:sz w:val="21"/>
          <w:szCs w:val="21"/>
        </w:rPr>
        <w:t>This Software Sale Agreement ("Agreement") is made and entered into on this ____ day of ____________, 2026, by and between:</w:t>
      </w:r>
    </w:p>
    <w:p>
      <w:pPr>
        <w:pStyle w:val="Normal"/>
        <w:spacing w:before="0" w:after="120"/>
        <w:jc w:val="both"/>
        <w:rPr/>
      </w:pPr>
      <w:r>
        <w:rPr>
          <w:b w:val="false"/>
          <w:bCs w:val="false"/>
          <w:sz w:val="21"/>
          <w:szCs w:val="21"/>
        </w:rPr>
        <w:t>[Your Company / Developer Legal Name], having its principal place of business at [Address] (hereinafter referred to as the "Provider", which expression shall, unless repugnant to the context, include its successors and permitted assigns),</w:t>
      </w:r>
    </w:p>
    <w:p>
      <w:pPr>
        <w:pStyle w:val="Normal"/>
        <w:spacing w:before="0" w:after="120"/>
        <w:jc w:val="both"/>
        <w:rPr/>
      </w:pPr>
      <w:r>
        <w:rPr>
          <w:sz w:val="21"/>
          <w:szCs w:val="21"/>
        </w:rPr>
        <w:t>AND</w:t>
      </w:r>
    </w:p>
    <w:p>
      <w:pPr>
        <w:pStyle w:val="Normal"/>
        <w:spacing w:before="0" w:after="120"/>
        <w:jc w:val="both"/>
        <w:rPr/>
      </w:pPr>
      <w:r>
        <w:rPr>
          <w:sz w:val="21"/>
          <w:szCs w:val="21"/>
        </w:rPr>
        <w:t>Sarangi Jewels, a business owned and operated by [Owner's Full Name], having its place of business at [Shop Address] (hereinafter referred to as the "Client", which expression shall, unless repugnant to the context, include its successors and permitted assigns).</w:t>
      </w:r>
    </w:p>
    <w:p>
      <w:pPr>
        <w:pStyle w:val="Normal"/>
        <w:spacing w:before="0" w:after="120"/>
        <w:jc w:val="both"/>
        <w:rPr/>
      </w:pPr>
      <w:r>
        <w:rPr>
          <w:sz w:val="21"/>
          <w:szCs w:val="21"/>
        </w:rPr>
        <w:t>The Provider and the Client are hereinafter individually referred to as a "Party" and collectively as the "Parties".</w:t>
      </w:r>
    </w:p>
    <w:p>
      <w:pPr>
        <w:pStyle w:val="Normal"/>
        <w:spacing w:before="260" w:after="100"/>
        <w:rPr/>
      </w:pPr>
      <w:r>
        <w:rPr>
          <w:b/>
          <w:bCs/>
          <w:color w:val="4A148C"/>
          <w:sz w:val="24"/>
          <w:szCs w:val="24"/>
        </w:rPr>
        <w:t>1. Background</w:t>
      </w:r>
    </w:p>
    <w:p>
      <w:pPr>
        <w:pStyle w:val="Normal"/>
        <w:spacing w:before="0" w:after="120"/>
        <w:jc w:val="both"/>
        <w:rPr/>
      </w:pPr>
      <w:r>
        <w:rPr>
          <w:sz w:val="21"/>
          <w:szCs w:val="21"/>
        </w:rPr>
        <w:t>1.1 The Client operates a retail business comprising jewellery and ornament sales, a ladies' apparel and accessories store, and a dance-costume rental service.</w:t>
      </w:r>
    </w:p>
    <w:p>
      <w:pPr>
        <w:pStyle w:val="Normal"/>
        <w:spacing w:before="0" w:after="120"/>
        <w:jc w:val="both"/>
        <w:rPr/>
      </w:pPr>
      <w:r>
        <w:rPr>
          <w:sz w:val="21"/>
          <w:szCs w:val="21"/>
        </w:rPr>
        <w:t>1.2 The Provider has developed a proprietary e-commerce and business management software platform ("the Software"), comprising a customer website, customer mobile application, admin web dashboard, staff/fulfillment mobile application, a central backend API, and a rental-booking engine, as more particularly described in Annexure A (Scope of Software) and the accompanying Quotation dated 12 September 2026 ("the Quotation").</w:t>
      </w:r>
    </w:p>
    <w:p>
      <w:pPr>
        <w:pStyle w:val="Normal"/>
        <w:spacing w:before="0" w:after="120"/>
        <w:jc w:val="both"/>
        <w:rPr/>
      </w:pPr>
      <w:r>
        <w:rPr>
          <w:sz w:val="21"/>
          <w:szCs w:val="21"/>
        </w:rPr>
        <w:t>1.3 The Client wishes to purchase a licence to use the Software for its business operations, on the terms set out in this Agreement.</w:t>
      </w:r>
    </w:p>
    <w:p>
      <w:pPr>
        <w:pStyle w:val="Normal"/>
        <w:spacing w:before="260" w:after="100"/>
        <w:rPr/>
      </w:pPr>
      <w:r>
        <w:rPr>
          <w:b/>
          <w:bCs/>
          <w:color w:val="4A148C"/>
          <w:sz w:val="24"/>
          <w:szCs w:val="24"/>
        </w:rPr>
        <w:t>2. Definitions</w:t>
      </w:r>
    </w:p>
    <w:p>
      <w:pPr>
        <w:pStyle w:val="ListParagraph"/>
        <w:numPr>
          <w:ilvl w:val="0"/>
          <w:numId w:val="3"/>
        </w:numPr>
        <w:spacing w:before="0" w:after="70"/>
        <w:rPr/>
      </w:pPr>
      <w:r>
        <w:rPr>
          <w:sz w:val="21"/>
          <w:szCs w:val="21"/>
        </w:rPr>
        <w:t>"Software" means the object code and, where the Source Code Add-on is purchased under Clause 5, the source code of the Sarangi Jewels e-commerce platform, together with its documentation, as scoped in Annexure A.</w:t>
      </w:r>
    </w:p>
    <w:p>
      <w:pPr>
        <w:pStyle w:val="ListParagraph"/>
        <w:numPr>
          <w:ilvl w:val="0"/>
          <w:numId w:val="1"/>
        </w:numPr>
        <w:spacing w:before="0" w:after="70"/>
        <w:rPr/>
      </w:pPr>
      <w:r>
        <w:rPr>
          <w:sz w:val="21"/>
          <w:szCs w:val="21"/>
        </w:rPr>
        <w:t>"Go-Live Date" means the date on which the Software is deployed to a production environment and made available for the Client's business use.</w:t>
      </w:r>
    </w:p>
    <w:p>
      <w:pPr>
        <w:pStyle w:val="ListParagraph"/>
        <w:numPr>
          <w:ilvl w:val="0"/>
          <w:numId w:val="1"/>
        </w:numPr>
        <w:spacing w:before="0" w:after="70"/>
        <w:rPr/>
      </w:pPr>
      <w:r>
        <w:rPr>
          <w:sz w:val="21"/>
          <w:szCs w:val="21"/>
        </w:rPr>
        <w:t>"Support Period" means the period during which the Provider provides post-launch support as set out in Clause 8.</w:t>
      </w:r>
    </w:p>
    <w:p>
      <w:pPr>
        <w:pStyle w:val="ListParagraph"/>
        <w:numPr>
          <w:ilvl w:val="0"/>
          <w:numId w:val="1"/>
        </w:numPr>
        <w:spacing w:before="0" w:after="70"/>
        <w:rPr/>
      </w:pPr>
      <w:r>
        <w:rPr>
          <w:sz w:val="21"/>
          <w:szCs w:val="21"/>
        </w:rPr>
        <w:t>"Confidential Information" means all non-public business, technical, financial, and customer information disclosed by either Party to the other in connection with this Agreement.</w:t>
      </w:r>
    </w:p>
    <w:p>
      <w:pPr>
        <w:pStyle w:val="Normal"/>
        <w:spacing w:before="260" w:after="100"/>
        <w:rPr/>
      </w:pPr>
      <w:r>
        <w:rPr>
          <w:b/>
          <w:bCs/>
          <w:color w:val="4A148C"/>
          <w:sz w:val="24"/>
          <w:szCs w:val="24"/>
        </w:rPr>
        <w:t>3. Grant of Licence</w:t>
      </w:r>
    </w:p>
    <w:p>
      <w:pPr>
        <w:pStyle w:val="Normal"/>
        <w:spacing w:before="0" w:after="120"/>
        <w:jc w:val="both"/>
        <w:rPr/>
      </w:pPr>
      <w:r>
        <w:rPr>
          <w:sz w:val="21"/>
          <w:szCs w:val="21"/>
        </w:rPr>
        <w:t>3.1 Subject to full payment as set out in Clause 5, the Provider grants the Client a non-exclusive, non-transferable, perpetual licence to install, deploy, and use the Software solely for the operation of the Client's own business ("Sarangi Jewels") across its physical and online channels.</w:t>
      </w:r>
    </w:p>
    <w:p>
      <w:pPr>
        <w:pStyle w:val="Normal"/>
        <w:spacing w:before="0" w:after="120"/>
        <w:jc w:val="both"/>
        <w:rPr/>
      </w:pPr>
      <w:r>
        <w:rPr>
          <w:sz w:val="21"/>
          <w:szCs w:val="21"/>
        </w:rPr>
        <w:t>3.2 Unless the Source Code Add-on described in Clause 5.3 is purchased and paid for in full, this licence does not include ownership of, or unrestricted rights to modify, the underlying source code. The Client may use the compiled/deployed Software and request modifications or enhancements from the Provider under a separate support or development arrangement.</w:t>
      </w:r>
    </w:p>
    <w:p>
      <w:pPr>
        <w:pStyle w:val="Normal"/>
        <w:spacing w:before="0" w:after="120"/>
        <w:jc w:val="both"/>
        <w:rPr/>
      </w:pPr>
      <w:r>
        <w:rPr>
          <w:sz w:val="21"/>
          <w:szCs w:val="21"/>
        </w:rPr>
        <w:t>3.3 The Client shall not resell, sub-license, white-label, or distribute the Software to any third party without the Provider's prior written consent.</w:t>
      </w:r>
    </w:p>
    <w:p>
      <w:pPr>
        <w:pStyle w:val="Normal"/>
        <w:spacing w:before="0" w:after="120"/>
        <w:jc w:val="both"/>
        <w:rPr/>
      </w:pPr>
      <w:r>
        <w:rPr>
          <w:sz w:val="21"/>
          <w:szCs w:val="21"/>
        </w:rPr>
        <w:t>3.4 Where the Source Code Add-on is purchased and paid for in full, ownership of the source code, as it exists on the date of transfer, passes to the Client, and the Client may modify, extend, and maintain it independently, subject to Clause 10 (Third-Party Components).</w:t>
      </w:r>
    </w:p>
    <w:p>
      <w:pPr>
        <w:pStyle w:val="Normal"/>
        <w:spacing w:before="260" w:after="100"/>
        <w:rPr/>
      </w:pPr>
      <w:r>
        <w:rPr>
          <w:b/>
          <w:bCs/>
          <w:color w:val="4A148C"/>
          <w:sz w:val="24"/>
          <w:szCs w:val="24"/>
        </w:rPr>
        <w:t>4. Scope of Delivery</w:t>
      </w:r>
    </w:p>
    <w:p>
      <w:pPr>
        <w:pStyle w:val="Normal"/>
        <w:spacing w:before="0" w:after="120"/>
        <w:jc w:val="both"/>
        <w:rPr/>
      </w:pPr>
      <w:r>
        <w:rPr>
          <w:sz w:val="21"/>
          <w:szCs w:val="21"/>
        </w:rPr>
        <w:t>The Provider shall deliver the Software and associated services as detailed in Annexure A, including deployment to the Client's chosen hosting environment, initial catalog/data setup, payment gateway configuration, and training for the Client's staff on the use of the admin and fulfillment applications.</w:t>
      </w:r>
    </w:p>
    <w:p>
      <w:pPr>
        <w:pStyle w:val="Normal"/>
        <w:spacing w:before="260" w:after="100"/>
        <w:rPr/>
      </w:pPr>
      <w:r>
        <w:rPr>
          <w:b/>
          <w:bCs/>
          <w:color w:val="4A148C"/>
          <w:sz w:val="24"/>
          <w:szCs w:val="24"/>
        </w:rPr>
        <w:t>5. Consideration and Payment Terms</w:t>
      </w:r>
    </w:p>
    <w:p>
      <w:pPr>
        <w:pStyle w:val="Normal"/>
        <w:spacing w:before="0" w:after="120"/>
        <w:jc w:val="both"/>
        <w:rPr/>
      </w:pPr>
      <w:r>
        <w:rPr>
          <w:sz w:val="21"/>
          <w:szCs w:val="21"/>
        </w:rPr>
        <w:t>5.1 In consideration of the licence granted under Clause 3, the Client shall pay the Provider a total sum of ₹2,00,000 (Rupees Two Lakh Only) for the Software Licence Package ("the Licence Fee"), exclusive of applicable GST/taxes, as detailed in the Quotation.</w:t>
      </w:r>
    </w:p>
    <w:p>
      <w:pPr>
        <w:pStyle w:val="Normal"/>
        <w:spacing w:before="120" w:after="80"/>
        <w:rPr/>
      </w:pPr>
      <w:r>
        <w:rPr>
          <w:b/>
          <w:bCs/>
          <w:sz w:val="21"/>
          <w:szCs w:val="21"/>
        </w:rPr>
        <w:t>5.2 Payment Option A — Full Payment</w:t>
      </w:r>
    </w:p>
    <w:p>
      <w:pPr>
        <w:pStyle w:val="Normal"/>
        <w:spacing w:before="0" w:after="120"/>
        <w:jc w:val="both"/>
        <w:rPr/>
      </w:pPr>
      <w:r>
        <w:rPr>
          <w:sz w:val="21"/>
          <w:szCs w:val="21"/>
        </w:rPr>
        <w:t>Where the Client selects full payment, the entire Licence Fee of ₹2,00,000 is payable in full prior to the commencement of deployment work, as acknowledged by the payment schedule signed by both Parties (Annexure B).</w:t>
      </w:r>
    </w:p>
    <w:p>
      <w:pPr>
        <w:pStyle w:val="Normal"/>
        <w:spacing w:before="120" w:after="80"/>
        <w:rPr/>
      </w:pPr>
      <w:r>
        <w:rPr>
          <w:b/>
          <w:bCs/>
          <w:sz w:val="21"/>
          <w:szCs w:val="21"/>
        </w:rPr>
        <w:t>5.3 Payment Option B — Monthly Instalment Plan</w:t>
      </w:r>
    </w:p>
    <w:p>
      <w:pPr>
        <w:pStyle w:val="Normal"/>
        <w:spacing w:before="0" w:after="120"/>
        <w:jc w:val="both"/>
        <w:rPr/>
      </w:pPr>
      <w:r>
        <w:rPr>
          <w:sz w:val="21"/>
          <w:szCs w:val="21"/>
        </w:rPr>
        <w:t>Where the Client is unable to pay the full Licence Fee upfront, the Provider agrees, at the Client's request, to accept payment via one of the following instalment plans in lieu of full payment. A deferred-payment charge is included in the total payable under each plan to account for the extended payment terms:</w:t>
      </w:r>
    </w:p>
    <w:tbl>
      <w:tblPr>
        <w:tblW w:w="5000" w:type="pct"/>
        <w:jc w:val="left"/>
        <w:tblInd w:w="0" w:type="dxa"/>
        <w:tblLayout w:type="fixed"/>
        <w:tblCellMar>
          <w:top w:w="100" w:type="dxa"/>
          <w:left w:w="150" w:type="dxa"/>
          <w:bottom w:w="100" w:type="dxa"/>
          <w:right w:w="150" w:type="dxa"/>
        </w:tblCellMar>
      </w:tblPr>
      <w:tblGrid>
        <w:gridCol w:w="2048"/>
        <w:gridCol w:w="2048"/>
        <w:gridCol w:w="2048"/>
        <w:gridCol w:w="2048"/>
        <w:gridCol w:w="2048"/>
      </w:tblGrid>
      <w:tr>
        <w:trPr/>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left"/>
              <w:rPr/>
            </w:pPr>
            <w:r>
              <w:rPr>
                <w:b/>
                <w:bCs/>
                <w:sz w:val="20"/>
                <w:szCs w:val="20"/>
              </w:rPr>
              <w:t>Plan</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sz w:val="20"/>
                <w:szCs w:val="20"/>
              </w:rPr>
              <w:t>Down Payment</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sz w:val="20"/>
                <w:szCs w:val="20"/>
              </w:rPr>
              <w:t>Monthly Instalment</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sz w:val="20"/>
                <w:szCs w:val="20"/>
              </w:rPr>
              <w:t>Duration</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sz w:val="20"/>
                <w:szCs w:val="20"/>
              </w:rPr>
              <w:t>Total Payable</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sz w:val="20"/>
                <w:szCs w:val="20"/>
              </w:rPr>
              <w:t>3-Month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90,000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60,000 × 2</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3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sz w:val="20"/>
                <w:szCs w:val="20"/>
              </w:rPr>
              <w:t>₹</w:t>
            </w:r>
            <w:r>
              <w:rPr>
                <w:b/>
                <w:bCs/>
                <w:sz w:val="20"/>
                <w:szCs w:val="20"/>
              </w:rPr>
              <w:t>2,10,000</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sz w:val="20"/>
                <w:szCs w:val="20"/>
              </w:rPr>
              <w:t>6-Month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70,000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25,000 × 6</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6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sz w:val="20"/>
                <w:szCs w:val="20"/>
              </w:rPr>
              <w:t>₹</w:t>
            </w:r>
            <w:r>
              <w:rPr>
                <w:b/>
                <w:bCs/>
                <w:sz w:val="20"/>
                <w:szCs w:val="20"/>
              </w:rPr>
              <w:t>2,20,000</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sz w:val="20"/>
                <w:szCs w:val="20"/>
              </w:rPr>
              <w:t>12-Month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60,000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w:t>
            </w:r>
            <w:r>
              <w:rPr>
                <w:b w:val="false"/>
                <w:bCs w:val="false"/>
                <w:sz w:val="20"/>
                <w:szCs w:val="20"/>
              </w:rPr>
              <w:t>15,000 × 12</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sz w:val="20"/>
                <w:szCs w:val="20"/>
              </w:rPr>
              <w:t>12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sz w:val="20"/>
                <w:szCs w:val="20"/>
              </w:rPr>
              <w:t>₹</w:t>
            </w:r>
            <w:r>
              <w:rPr>
                <w:b/>
                <w:bCs/>
                <w:sz w:val="20"/>
                <w:szCs w:val="20"/>
              </w:rPr>
              <w:t>2,40,000</w:t>
            </w:r>
          </w:p>
        </w:tc>
      </w:tr>
    </w:tbl>
    <w:p>
      <w:pPr>
        <w:pStyle w:val="Normal"/>
        <w:spacing w:before="0" w:after="120"/>
        <w:jc w:val="both"/>
        <w:rPr/>
      </w:pPr>
      <w:r>
        <w:rPr>
          <w:sz w:val="21"/>
          <w:szCs w:val="21"/>
        </w:rPr>
        <w:t xml:space="preserve"> </w:t>
      </w:r>
    </w:p>
    <w:p>
      <w:pPr>
        <w:pStyle w:val="Normal"/>
        <w:spacing w:before="0" w:after="120"/>
        <w:jc w:val="both"/>
        <w:rPr/>
      </w:pPr>
      <w:r>
        <w:rPr>
          <w:sz w:val="21"/>
          <w:szCs w:val="21"/>
        </w:rPr>
        <w:t>The Client selects the following payment option (tick one): ☐ Full Payment   ☐ 3-Month Plan   ☐ 6-Month Plan   ☐ 12-Month Plan</w:t>
      </w:r>
    </w:p>
    <w:p>
      <w:pPr>
        <w:pStyle w:val="Normal"/>
        <w:spacing w:before="0" w:after="120"/>
        <w:jc w:val="both"/>
        <w:rPr/>
      </w:pPr>
      <w:r>
        <w:rPr>
          <w:sz w:val="21"/>
          <w:szCs w:val="21"/>
        </w:rPr>
        <w:t>5.4 The down payment under the selected plan is due on the date of signing this Agreement and before deployment work begins. Subsequent monthly instalments are due on the same calendar date each month, commencing one (1) month after the Go-Live Date, and shall be paid via bank transfer, UPI, or cheque as mutually agreed.</w:t>
      </w:r>
    </w:p>
    <w:p>
      <w:pPr>
        <w:pStyle w:val="Normal"/>
        <w:spacing w:before="120" w:after="80"/>
        <w:rPr/>
      </w:pPr>
      <w:r>
        <w:rPr>
          <w:b/>
          <w:bCs/>
          <w:sz w:val="21"/>
          <w:szCs w:val="21"/>
        </w:rPr>
        <w:t>5.5 Late or Missed Instalments</w:t>
      </w:r>
    </w:p>
    <w:p>
      <w:pPr>
        <w:pStyle w:val="Normal"/>
        <w:spacing w:before="0" w:after="120"/>
        <w:jc w:val="both"/>
        <w:rPr/>
      </w:pPr>
      <w:r>
        <w:rPr>
          <w:sz w:val="21"/>
          <w:szCs w:val="21"/>
        </w:rPr>
        <w:t>If any instalment remains unpaid for more than fifteen (15) days after its due date, the Provider may, at its discretion and upon written notice to the Client: (a) suspend access to the admin dashboard and/or Software support until payment is received; and/or (b) charge a late fee of 2% of the overdue instalment amount per month of delay. Continued default beyond forty-five (45) days from the due date shall constitute a material breach entitling the Provider to terminate this Agreement under Clause 12, without prejudice to its right to recover all amounts due.</w:t>
      </w:r>
    </w:p>
    <w:p>
      <w:pPr>
        <w:pStyle w:val="Normal"/>
        <w:spacing w:before="120" w:after="80"/>
        <w:rPr/>
      </w:pPr>
      <w:r>
        <w:rPr>
          <w:b/>
          <w:bCs/>
          <w:sz w:val="21"/>
          <w:szCs w:val="21"/>
        </w:rPr>
        <w:t>5.6 Source Code Add-on</w:t>
      </w:r>
    </w:p>
    <w:p>
      <w:pPr>
        <w:pStyle w:val="Normal"/>
        <w:spacing w:before="0" w:after="120"/>
        <w:jc w:val="both"/>
        <w:rPr/>
      </w:pPr>
      <w:r>
        <w:rPr>
          <w:sz w:val="21"/>
          <w:szCs w:val="21"/>
        </w:rPr>
        <w:t>Where the Client wishes to purchase full ownership of the Software's source code, an additional one-time fee of ₹</w:t>
      </w:r>
      <w:r>
        <w:rPr>
          <w:sz w:val="21"/>
          <w:szCs w:val="21"/>
        </w:rPr>
        <w:t>3,00</w:t>
      </w:r>
      <w:r>
        <w:rPr>
          <w:sz w:val="21"/>
          <w:szCs w:val="21"/>
        </w:rPr>
        <w:t>,000 (</w:t>
      </w:r>
      <w:r>
        <w:rPr>
          <w:sz w:val="21"/>
          <w:szCs w:val="21"/>
        </w:rPr>
        <w:t>Three Lakhs</w:t>
      </w:r>
      <w:r>
        <w:rPr>
          <w:sz w:val="21"/>
          <w:szCs w:val="21"/>
        </w:rPr>
        <w:t xml:space="preserve"> Only), exclusive of applicable GST/taxes, is payable in full at the time this option is exercised. The Source Code Add-on is not available on an instalment basis and may only be exercised after the Licence Fee (under whichever payment option was selected) has been paid in full. Source code shall be handed over within seven (7) business days of receipt of the Source Code Add-on payment.</w:t>
      </w:r>
    </w:p>
    <w:p>
      <w:pPr>
        <w:pStyle w:val="Normal"/>
        <w:spacing w:before="260" w:after="100"/>
        <w:rPr/>
      </w:pPr>
      <w:r>
        <w:rPr>
          <w:b/>
          <w:bCs/>
          <w:color w:val="4A148C"/>
          <w:sz w:val="24"/>
          <w:szCs w:val="24"/>
        </w:rPr>
        <w:t>6. Deployment and Go-Live</w:t>
      </w:r>
    </w:p>
    <w:p>
      <w:pPr>
        <w:pStyle w:val="Normal"/>
        <w:spacing w:before="0" w:after="120"/>
        <w:jc w:val="both"/>
        <w:rPr/>
      </w:pPr>
      <w:r>
        <w:rPr>
          <w:sz w:val="21"/>
          <w:szCs w:val="21"/>
        </w:rPr>
        <w:t>6.1 The Provider shall deploy the Software to the Client's chosen hosting environment and target a Go-Live Date to be mutually agreed in writing, generally within 2–4 weeks of the down payment/full payment being received, subject to the Client providing required content, product data, and access in a timely manner.</w:t>
      </w:r>
    </w:p>
    <w:p>
      <w:pPr>
        <w:pStyle w:val="Normal"/>
        <w:spacing w:before="0" w:after="120"/>
        <w:jc w:val="both"/>
        <w:rPr/>
      </w:pPr>
      <w:r>
        <w:rPr>
          <w:sz w:val="21"/>
          <w:szCs w:val="21"/>
        </w:rPr>
        <w:t>6.2 Delays caused by the Client's failure to provide necessary information, assets, or approvals shall extend the Go-Live Date and any associated timelines accordingly, without liability to the Provider.</w:t>
      </w:r>
    </w:p>
    <w:p>
      <w:pPr>
        <w:pStyle w:val="Normal"/>
        <w:spacing w:before="260" w:after="100"/>
        <w:rPr/>
      </w:pPr>
      <w:r>
        <w:rPr>
          <w:b/>
          <w:bCs/>
          <w:color w:val="4A148C"/>
          <w:sz w:val="24"/>
          <w:szCs w:val="24"/>
        </w:rPr>
        <w:t>7. Acceptance Testing</w:t>
      </w:r>
    </w:p>
    <w:p>
      <w:pPr>
        <w:pStyle w:val="Normal"/>
        <w:spacing w:before="0" w:after="120"/>
        <w:jc w:val="both"/>
        <w:rPr/>
      </w:pPr>
      <w:r>
        <w:rPr>
          <w:sz w:val="21"/>
          <w:szCs w:val="21"/>
        </w:rPr>
        <w:t>Upon deployment to a staging/test environment, the Client shall have five (5) business days to test the Software against the scope in Annexure A and report any material defects in writing. If no such written notice is received within this period, the Software shall be deemed accepted.</w:t>
      </w:r>
    </w:p>
    <w:p>
      <w:pPr>
        <w:pStyle w:val="Normal"/>
        <w:spacing w:before="260" w:after="100"/>
        <w:rPr/>
      </w:pPr>
      <w:r>
        <w:rPr>
          <w:b/>
          <w:bCs/>
          <w:color w:val="4A148C"/>
          <w:sz w:val="24"/>
          <w:szCs w:val="24"/>
        </w:rPr>
        <w:t>8. Support and Warranty</w:t>
      </w:r>
    </w:p>
    <w:p>
      <w:pPr>
        <w:pStyle w:val="Normal"/>
        <w:spacing w:before="0" w:after="120"/>
        <w:jc w:val="both"/>
        <w:rPr/>
      </w:pPr>
      <w:r>
        <w:rPr>
          <w:sz w:val="21"/>
          <w:szCs w:val="21"/>
        </w:rPr>
        <w:t>8.1 The Provider warrants that, for a period of ninety (90) days from the Go-Live Date ("Support Period"), it will, at no additional charge, fix material defects (bugs) that cause the Software to fail to perform substantially in accordance with Annexure A.</w:t>
      </w:r>
    </w:p>
    <w:p>
      <w:pPr>
        <w:pStyle w:val="Normal"/>
        <w:spacing w:before="0" w:after="120"/>
        <w:jc w:val="both"/>
        <w:rPr/>
      </w:pPr>
      <w:r>
        <w:rPr>
          <w:sz w:val="21"/>
          <w:szCs w:val="21"/>
        </w:rPr>
        <w:t>8.2 The Support Period does not cover: (a) new features or enhancements not in the original scope; (b) issues caused by the Client's modification of the Software (where source code has been transferred) or misuse; (c) third-party service outages (payment gateway, SMS/WhatsApp providers, hosting provider); or (d) data loss due to causes outside the Provider's reasonable control.</w:t>
      </w:r>
    </w:p>
    <w:p>
      <w:pPr>
        <w:pStyle w:val="Normal"/>
        <w:spacing w:before="0" w:after="120"/>
        <w:jc w:val="both"/>
        <w:rPr/>
      </w:pPr>
      <w:r>
        <w:rPr>
          <w:sz w:val="21"/>
          <w:szCs w:val="21"/>
        </w:rPr>
        <w:t>8.3 Support beyond the Support Period, and any new feature development, shall be chargeable under a separate maintenance agreement or on a time-and-materials basis, as mutually agreed.</w:t>
      </w:r>
    </w:p>
    <w:p>
      <w:pPr>
        <w:pStyle w:val="Normal"/>
        <w:spacing w:before="0" w:after="120"/>
        <w:jc w:val="both"/>
        <w:rPr/>
      </w:pPr>
      <w:r>
        <w:rPr>
          <w:sz w:val="21"/>
          <w:szCs w:val="21"/>
        </w:rPr>
        <w:t>8.4 EXCEPT AS EXPRESSLY STATED IN THIS CLAUSE 8, THE SOFTWARE IS PROVIDED "AS IS" WITHOUT WARRANTIES OF ANY KIND, WHETHER EXPRESS OR IMPLIED, INCLUDING WITHOUT LIMITATION WARRANTIES OF MERCHANTABILITY OR FITNESS FOR A PARTICULAR PURPOSE.</w:t>
      </w:r>
    </w:p>
    <w:p>
      <w:pPr>
        <w:pStyle w:val="Normal"/>
        <w:spacing w:before="260" w:after="100"/>
        <w:rPr/>
      </w:pPr>
      <w:r>
        <w:rPr>
          <w:b/>
          <w:bCs/>
          <w:color w:val="4A148C"/>
          <w:sz w:val="24"/>
          <w:szCs w:val="24"/>
        </w:rPr>
        <w:t>9. Intellectual Property</w:t>
      </w:r>
    </w:p>
    <w:p>
      <w:pPr>
        <w:pStyle w:val="Normal"/>
        <w:spacing w:before="0" w:after="120"/>
        <w:jc w:val="both"/>
        <w:rPr/>
      </w:pPr>
      <w:r>
        <w:rPr>
          <w:sz w:val="21"/>
          <w:szCs w:val="21"/>
        </w:rPr>
        <w:t>9.1 Save for the Source Code Add-on under Clause 5.6, all intellectual property rights in and to the Software, including its source code, design, and architecture, remain the exclusive property of the Provider.</w:t>
      </w:r>
    </w:p>
    <w:p>
      <w:pPr>
        <w:pStyle w:val="Normal"/>
        <w:spacing w:before="0" w:after="120"/>
        <w:jc w:val="both"/>
        <w:rPr/>
      </w:pPr>
      <w:r>
        <w:rPr>
          <w:sz w:val="21"/>
          <w:szCs w:val="21"/>
        </w:rPr>
        <w:t>9.2 All content, product data, images, and branding uploaded or provided by the Client remain the exclusive property of the Client. The Provider shall not use such content for any purpose other than delivering the Software to the Client.</w:t>
      </w:r>
    </w:p>
    <w:p>
      <w:pPr>
        <w:pStyle w:val="Normal"/>
        <w:spacing w:before="0" w:after="120"/>
        <w:jc w:val="both"/>
        <w:rPr/>
      </w:pPr>
      <w:r>
        <w:rPr>
          <w:sz w:val="21"/>
          <w:szCs w:val="21"/>
        </w:rPr>
        <w:t>9.3 Where the Source Code Add-on is purchased, ownership of the source code as delivered on the transfer date passes to the Client; however, this does not extend to any third-party libraries, frameworks, or components embedded within it, which remain licensed under their respective open-source or commercial licences.</w:t>
      </w:r>
    </w:p>
    <w:p>
      <w:pPr>
        <w:pStyle w:val="Normal"/>
        <w:spacing w:before="260" w:after="100"/>
        <w:rPr/>
      </w:pPr>
      <w:r>
        <w:rPr>
          <w:b/>
          <w:bCs/>
          <w:color w:val="4A148C"/>
          <w:sz w:val="24"/>
          <w:szCs w:val="24"/>
        </w:rPr>
        <w:t>10. Third-Party Components</w:t>
      </w:r>
    </w:p>
    <w:p>
      <w:pPr>
        <w:pStyle w:val="Normal"/>
        <w:spacing w:before="0" w:after="120"/>
        <w:jc w:val="both"/>
        <w:rPr/>
      </w:pPr>
      <w:r>
        <w:rPr>
          <w:sz w:val="21"/>
          <w:szCs w:val="21"/>
        </w:rPr>
        <w:t>The Software incorporates open-source and third-party components (including but not limited to database, payment gateway SDKs, and cloud infrastructure libraries), each governed by its own licence terms. The Provider does not warrant these components beyond what their respective licensors provide, and the Client is responsible for any third-party service fees (e.g., payment gateway charges, hosting, SMS/WhatsApp API costs) incurred in operating the Software.</w:t>
      </w:r>
    </w:p>
    <w:p>
      <w:pPr>
        <w:pStyle w:val="Normal"/>
        <w:spacing w:before="260" w:after="100"/>
        <w:rPr/>
      </w:pPr>
      <w:r>
        <w:rPr>
          <w:b/>
          <w:bCs/>
          <w:color w:val="4A148C"/>
          <w:sz w:val="24"/>
          <w:szCs w:val="24"/>
        </w:rPr>
        <w:t>11. Confidentiality</w:t>
      </w:r>
    </w:p>
    <w:p>
      <w:pPr>
        <w:pStyle w:val="Normal"/>
        <w:spacing w:before="0" w:after="120"/>
        <w:jc w:val="both"/>
        <w:rPr/>
      </w:pPr>
      <w:r>
        <w:rPr>
          <w:sz w:val="21"/>
          <w:szCs w:val="21"/>
        </w:rPr>
        <w:t>Each Party agrees to keep confidential all Confidential Information received from the other Party and not to disclose it to any third party, except as required by law or with the prior written consent of the disclosing Party. This obligation shall survive termination of this Agreement for a period of two (2) years.</w:t>
      </w:r>
    </w:p>
    <w:p>
      <w:pPr>
        <w:pStyle w:val="Normal"/>
        <w:spacing w:before="260" w:after="100"/>
        <w:rPr/>
      </w:pPr>
      <w:r>
        <w:rPr>
          <w:b/>
          <w:bCs/>
          <w:color w:val="4A148C"/>
          <w:sz w:val="24"/>
          <w:szCs w:val="24"/>
        </w:rPr>
        <w:t>12. Term and Termination</w:t>
      </w:r>
    </w:p>
    <w:p>
      <w:pPr>
        <w:pStyle w:val="Normal"/>
        <w:spacing w:before="0" w:after="120"/>
        <w:jc w:val="both"/>
        <w:rPr/>
      </w:pPr>
      <w:r>
        <w:rPr>
          <w:sz w:val="21"/>
          <w:szCs w:val="21"/>
        </w:rPr>
        <w:t>12.1 This Agreement commences on the date of signing and continues until terminated as provided herein.</w:t>
      </w:r>
    </w:p>
    <w:p>
      <w:pPr>
        <w:pStyle w:val="Normal"/>
        <w:spacing w:before="0" w:after="120"/>
        <w:jc w:val="both"/>
        <w:rPr/>
      </w:pPr>
      <w:r>
        <w:rPr>
          <w:sz w:val="21"/>
          <w:szCs w:val="21"/>
        </w:rPr>
        <w:t>12.2 Either Party may terminate this Agreement for material breach if the breaching Party fails to cure such breach within fifteen (15) days of receiving written notice.</w:t>
      </w:r>
    </w:p>
    <w:p>
      <w:pPr>
        <w:pStyle w:val="Normal"/>
        <w:spacing w:before="0" w:after="120"/>
        <w:jc w:val="both"/>
        <w:rPr/>
      </w:pPr>
      <w:r>
        <w:rPr>
          <w:sz w:val="21"/>
          <w:szCs w:val="21"/>
        </w:rPr>
        <w:t>12.3 If the Client terminates for convenience after deployment work has commenced, amounts paid up to that point are non-refundable, and any outstanding instalments for work already performed remain due.</w:t>
      </w:r>
    </w:p>
    <w:p>
      <w:pPr>
        <w:pStyle w:val="Normal"/>
        <w:spacing w:before="0" w:after="120"/>
        <w:jc w:val="both"/>
        <w:rPr/>
      </w:pPr>
      <w:r>
        <w:rPr>
          <w:sz w:val="21"/>
          <w:szCs w:val="21"/>
        </w:rPr>
        <w:t>12.4 Upon termination, the Client's licence to use the Software shall cease, except where the Source Code Add-on has been fully paid for and transferred, in which case the Client's ownership of that source code is unaffected by termination of this Agreement.</w:t>
      </w:r>
    </w:p>
    <w:p>
      <w:pPr>
        <w:pStyle w:val="Normal"/>
        <w:spacing w:before="260" w:after="100"/>
        <w:rPr/>
      </w:pPr>
      <w:r>
        <w:rPr>
          <w:b/>
          <w:bCs/>
          <w:color w:val="4A148C"/>
          <w:sz w:val="24"/>
          <w:szCs w:val="24"/>
        </w:rPr>
        <w:t>13. Limitation of Liability</w:t>
      </w:r>
    </w:p>
    <w:p>
      <w:pPr>
        <w:pStyle w:val="Normal"/>
        <w:spacing w:before="0" w:after="120"/>
        <w:jc w:val="both"/>
        <w:rPr/>
      </w:pPr>
      <w:r>
        <w:rPr>
          <w:sz w:val="21"/>
          <w:szCs w:val="21"/>
        </w:rPr>
        <w:t>To the maximum extent permitted by law, the Provider's aggregate liability arising out of or in connection with this Agreement shall not exceed the total amount actually paid by the Client under this Agreement. Neither Party shall be liable for indirect, incidental, or consequential damages, including loss of profits or business opportunity.</w:t>
      </w:r>
    </w:p>
    <w:p>
      <w:pPr>
        <w:pStyle w:val="Normal"/>
        <w:spacing w:before="260" w:after="100"/>
        <w:rPr/>
      </w:pPr>
      <w:r>
        <w:rPr>
          <w:b/>
          <w:bCs/>
          <w:color w:val="4A148C"/>
          <w:sz w:val="24"/>
          <w:szCs w:val="24"/>
        </w:rPr>
        <w:t>14. Data Protection</w:t>
      </w:r>
    </w:p>
    <w:p>
      <w:pPr>
        <w:pStyle w:val="Normal"/>
        <w:spacing w:before="0" w:after="120"/>
        <w:jc w:val="both"/>
        <w:rPr/>
      </w:pPr>
      <w:r>
        <w:rPr>
          <w:sz w:val="21"/>
          <w:szCs w:val="21"/>
        </w:rPr>
        <w:t>The Client shall be responsible for ensuring its use of the Software to collect and process customer data (names, contact details, order history, payment references) complies with applicable Indian data protection and consumer laws. The Provider shall implement reasonable technical safeguards (such as encrypted password storage and secure payment processing) as part of the Software but does not act as a data controller for the Client's business data.</w:t>
      </w:r>
    </w:p>
    <w:p>
      <w:pPr>
        <w:pStyle w:val="Normal"/>
        <w:spacing w:before="260" w:after="100"/>
        <w:rPr/>
      </w:pPr>
      <w:r>
        <w:rPr>
          <w:b/>
          <w:bCs/>
          <w:color w:val="4A148C"/>
          <w:sz w:val="24"/>
          <w:szCs w:val="24"/>
        </w:rPr>
        <w:t>15. Force Majeure</w:t>
      </w:r>
    </w:p>
    <w:p>
      <w:pPr>
        <w:pStyle w:val="Normal"/>
        <w:spacing w:before="0" w:after="120"/>
        <w:jc w:val="both"/>
        <w:rPr/>
      </w:pPr>
      <w:r>
        <w:rPr>
          <w:sz w:val="21"/>
          <w:szCs w:val="21"/>
        </w:rPr>
        <w:t>Neither Party shall be liable for delay or failure to perform its obligations under this Agreement due to causes beyond its reasonable control, including natural disasters, internet or utility outages, government action, or third-party service provider failures.</w:t>
      </w:r>
    </w:p>
    <w:p>
      <w:pPr>
        <w:pStyle w:val="Normal"/>
        <w:spacing w:before="260" w:after="100"/>
        <w:rPr/>
      </w:pPr>
      <w:r>
        <w:rPr>
          <w:b/>
          <w:bCs/>
          <w:color w:val="4A148C"/>
          <w:sz w:val="24"/>
          <w:szCs w:val="24"/>
        </w:rPr>
        <w:t>16. Governing Law and Dispute Resolution</w:t>
      </w:r>
    </w:p>
    <w:p>
      <w:pPr>
        <w:pStyle w:val="Normal"/>
        <w:spacing w:before="0" w:after="120"/>
        <w:jc w:val="both"/>
        <w:rPr/>
      </w:pPr>
      <w:r>
        <w:rPr>
          <w:sz w:val="21"/>
          <w:szCs w:val="21"/>
        </w:rPr>
        <w:t>This Agreement shall be governed by the laws of India. Any disputes arising out of or in connection with this Agreement shall first be attempted to be resolved through good-faith negotiation between the Parties, failing which the dispute shall be subject to the exclusive jurisdiction of the courts at [City], India.</w:t>
      </w:r>
    </w:p>
    <w:p>
      <w:pPr>
        <w:pStyle w:val="Normal"/>
        <w:spacing w:before="260" w:after="100"/>
        <w:rPr/>
      </w:pPr>
      <w:r>
        <w:rPr>
          <w:b/>
          <w:bCs/>
          <w:color w:val="4A148C"/>
          <w:sz w:val="24"/>
          <w:szCs w:val="24"/>
        </w:rPr>
        <w:t>17. Entire Agreement</w:t>
      </w:r>
    </w:p>
    <w:p>
      <w:pPr>
        <w:pStyle w:val="Normal"/>
        <w:spacing w:before="0" w:after="120"/>
        <w:jc w:val="both"/>
        <w:rPr/>
      </w:pPr>
      <w:r>
        <w:rPr>
          <w:sz w:val="21"/>
          <w:szCs w:val="21"/>
        </w:rPr>
        <w:t>This Agreement, together with the Quotation dated 12 September 2026 and Annexures A and B, constitutes the entire agreement between the Parties with respect to its subject matter and supersedes all prior discussions, understandings, or agreements, whether written or oral. Any amendment must be in writing and signed by both Parties.</w:t>
      </w:r>
    </w:p>
    <w:p>
      <w:pPr>
        <w:pStyle w:val="Normal"/>
        <w:rPr/>
      </w:pPr>
      <w:r>
        <w:rPr/>
      </w:r>
      <w:r>
        <w:br w:type="page"/>
      </w:r>
    </w:p>
    <w:p>
      <w:pPr>
        <w:pStyle w:val="Normal"/>
        <w:spacing w:before="0" w:after="200"/>
        <w:rPr/>
      </w:pPr>
      <w:r>
        <w:rPr>
          <w:sz w:val="21"/>
          <w:szCs w:val="21"/>
        </w:rPr>
        <w:t>IN WITNESS WHEREOF, the Parties have executed this Agreement on the date first written above.</w:t>
      </w:r>
    </w:p>
    <w:tbl>
      <w:tblPr>
        <w:tblW w:w="5000" w:type="pct"/>
        <w:jc w:val="left"/>
        <w:tblInd w:w="0" w:type="dxa"/>
        <w:tblLayout w:type="fixed"/>
        <w:tblCellMar>
          <w:top w:w="100" w:type="dxa"/>
          <w:left w:w="150" w:type="dxa"/>
          <w:bottom w:w="100" w:type="dxa"/>
          <w:right w:w="150" w:type="dxa"/>
        </w:tblCellMar>
      </w:tblPr>
      <w:tblGrid>
        <w:gridCol w:w="5119"/>
        <w:gridCol w:w="5120"/>
      </w:tblGrid>
      <w:tr>
        <w:trPr/>
        <w:tc>
          <w:tcPr>
            <w:tcW w:w="5119"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sz w:val="20"/>
                <w:szCs w:val="20"/>
              </w:rPr>
              <w:t>For the Provider</w:t>
            </w:r>
          </w:p>
        </w:tc>
        <w:tc>
          <w:tcPr>
            <w:tcW w:w="5120"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sz w:val="20"/>
                <w:szCs w:val="20"/>
              </w:rPr>
              <w:t>For the Client — Sarangi Jewels</w:t>
            </w:r>
          </w:p>
        </w:tc>
      </w:tr>
      <w:tr>
        <w:trPr/>
        <w:tc>
          <w:tcPr>
            <w:tcW w:w="5119"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sz w:val="20"/>
                <w:szCs w:val="20"/>
              </w:rPr>
              <w:t xml:space="preserve">   </w:t>
            </w:r>
            <w:r>
              <w:rPr>
                <w:b w:val="false"/>
                <w:bCs w:val="false"/>
                <w:sz w:val="20"/>
                <w:szCs w:val="20"/>
              </w:rPr>
              <w:t>Signature: ______________________  Name: __________________________  Designation: ____________________  Date: __________________________</w:t>
            </w:r>
          </w:p>
        </w:tc>
        <w:tc>
          <w:tcPr>
            <w:tcW w:w="512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sz w:val="20"/>
                <w:szCs w:val="20"/>
              </w:rPr>
              <w:t xml:space="preserve">   </w:t>
            </w:r>
            <w:r>
              <w:rPr>
                <w:b w:val="false"/>
                <w:bCs w:val="false"/>
                <w:sz w:val="20"/>
                <w:szCs w:val="20"/>
              </w:rPr>
              <w:t>Signature: ______________________  Name: __________________________  Designation: Owner, Sarangi Jewels  Date: __________________________</w:t>
            </w:r>
          </w:p>
        </w:tc>
      </w:tr>
    </w:tbl>
    <w:p>
      <w:pPr>
        <w:pStyle w:val="Normal"/>
        <w:rPr/>
      </w:pPr>
      <w:r>
        <w:rPr/>
      </w:r>
      <w:r>
        <w:br w:type="page"/>
      </w:r>
    </w:p>
    <w:p>
      <w:pPr>
        <w:pStyle w:val="Normal"/>
        <w:spacing w:before="0" w:after="200"/>
        <w:rPr/>
      </w:pPr>
      <w:r>
        <w:rPr>
          <w:b/>
          <w:bCs/>
          <w:color w:val="4A148C"/>
          <w:sz w:val="26"/>
          <w:szCs w:val="26"/>
        </w:rPr>
        <w:t>ANNEXURE A — Scope of Software</w:t>
      </w:r>
    </w:p>
    <w:p>
      <w:pPr>
        <w:pStyle w:val="ListParagraph"/>
        <w:numPr>
          <w:ilvl w:val="0"/>
          <w:numId w:val="1"/>
        </w:numPr>
        <w:spacing w:before="0" w:after="70"/>
        <w:rPr/>
      </w:pPr>
      <w:r>
        <w:rPr>
          <w:sz w:val="21"/>
          <w:szCs w:val="21"/>
        </w:rPr>
        <w:t>Customer website: product catalog, search/filters, cart, secure checkout, order tracking, wishlist, product reviews</w:t>
      </w:r>
    </w:p>
    <w:p>
      <w:pPr>
        <w:pStyle w:val="ListParagraph"/>
        <w:numPr>
          <w:ilvl w:val="0"/>
          <w:numId w:val="1"/>
        </w:numPr>
        <w:spacing w:before="0" w:after="70"/>
        <w:rPr/>
      </w:pPr>
      <w:r>
        <w:rPr>
          <w:sz w:val="21"/>
          <w:szCs w:val="21"/>
        </w:rPr>
        <w:t>Customer mobile application (Expo/React Native): full shopping and rental-booking experience</w:t>
      </w:r>
    </w:p>
    <w:p>
      <w:pPr>
        <w:pStyle w:val="ListParagraph"/>
        <w:numPr>
          <w:ilvl w:val="0"/>
          <w:numId w:val="1"/>
        </w:numPr>
        <w:spacing w:before="0" w:after="70"/>
        <w:rPr/>
      </w:pPr>
      <w:r>
        <w:rPr>
          <w:sz w:val="21"/>
          <w:szCs w:val="21"/>
        </w:rPr>
        <w:t>Admin web dashboard: catalog, pricing, promotions, inventory, order management, reports/analytics, staff roles and permissions</w:t>
      </w:r>
    </w:p>
    <w:p>
      <w:pPr>
        <w:pStyle w:val="ListParagraph"/>
        <w:numPr>
          <w:ilvl w:val="0"/>
          <w:numId w:val="1"/>
        </w:numPr>
        <w:spacing w:before="0" w:after="70"/>
        <w:rPr/>
      </w:pPr>
      <w:r>
        <w:rPr>
          <w:sz w:val="21"/>
          <w:szCs w:val="21"/>
        </w:rPr>
        <w:t>Staff/fulfillment mobile application: pick, pack, ship, and scanning workflows</w:t>
      </w:r>
    </w:p>
    <w:p>
      <w:pPr>
        <w:pStyle w:val="ListParagraph"/>
        <w:numPr>
          <w:ilvl w:val="0"/>
          <w:numId w:val="1"/>
        </w:numPr>
        <w:spacing w:before="0" w:after="70"/>
        <w:rPr/>
      </w:pPr>
      <w:r>
        <w:rPr>
          <w:sz w:val="21"/>
          <w:szCs w:val="21"/>
        </w:rPr>
        <w:t>Central backend API and PostgreSQL database serving all four applications</w:t>
      </w:r>
    </w:p>
    <w:p>
      <w:pPr>
        <w:pStyle w:val="ListParagraph"/>
        <w:numPr>
          <w:ilvl w:val="0"/>
          <w:numId w:val="1"/>
        </w:numPr>
        <w:spacing w:before="0" w:after="70"/>
        <w:rPr/>
      </w:pPr>
      <w:r>
        <w:rPr>
          <w:sz w:val="21"/>
          <w:szCs w:val="21"/>
        </w:rPr>
        <w:t>Rental booking engine: availability checks, scheduling, return/condition tracking, deposit handling</w:t>
      </w:r>
    </w:p>
    <w:p>
      <w:pPr>
        <w:pStyle w:val="ListParagraph"/>
        <w:numPr>
          <w:ilvl w:val="0"/>
          <w:numId w:val="1"/>
        </w:numPr>
        <w:spacing w:before="0" w:after="70"/>
        <w:rPr/>
      </w:pPr>
      <w:r>
        <w:rPr>
          <w:sz w:val="21"/>
          <w:szCs w:val="21"/>
        </w:rPr>
        <w:t>Payment integration: Razorpay (cards, UPI, netbanking) and Cash-on-Delivery</w:t>
      </w:r>
    </w:p>
    <w:p>
      <w:pPr>
        <w:pStyle w:val="ListParagraph"/>
        <w:numPr>
          <w:ilvl w:val="0"/>
          <w:numId w:val="1"/>
        </w:numPr>
        <w:spacing w:before="0" w:after="70"/>
        <w:rPr/>
      </w:pPr>
      <w:r>
        <w:rPr>
          <w:sz w:val="21"/>
          <w:szCs w:val="21"/>
        </w:rPr>
        <w:t>WhatsApp order-update integration</w:t>
      </w:r>
    </w:p>
    <w:p>
      <w:pPr>
        <w:pStyle w:val="ListParagraph"/>
        <w:numPr>
          <w:ilvl w:val="0"/>
          <w:numId w:val="1"/>
        </w:numPr>
        <w:spacing w:before="0" w:after="70"/>
        <w:rPr/>
      </w:pPr>
      <w:r>
        <w:rPr>
          <w:sz w:val="21"/>
          <w:szCs w:val="21"/>
        </w:rPr>
        <w:t>Deployment to Client's chosen hosting environment, initial product/catalog data setup, and staff training session(s)</w:t>
      </w:r>
    </w:p>
    <w:p>
      <w:pPr>
        <w:pStyle w:val="ListParagraph"/>
        <w:numPr>
          <w:ilvl w:val="0"/>
          <w:numId w:val="1"/>
        </w:numPr>
        <w:spacing w:before="0" w:after="70"/>
        <w:rPr/>
      </w:pPr>
      <w:r>
        <w:rPr>
          <w:sz w:val="21"/>
          <w:szCs w:val="21"/>
        </w:rPr>
        <w:t>Post-launch support for 90 days from Go-Live Date as per Clause 8</w:t>
      </w:r>
    </w:p>
    <w:p>
      <w:pPr>
        <w:pStyle w:val="Normal"/>
        <w:spacing w:before="400" w:after="200"/>
        <w:rPr/>
      </w:pPr>
      <w:r>
        <w:rPr>
          <w:b/>
          <w:bCs/>
          <w:color w:val="4A148C"/>
          <w:sz w:val="26"/>
          <w:szCs w:val="26"/>
        </w:rPr>
        <w:t>ANNEXURE B — Payment Schedule</w:t>
      </w:r>
    </w:p>
    <w:p>
      <w:pPr>
        <w:pStyle w:val="Normal"/>
        <w:spacing w:before="0" w:after="120"/>
        <w:jc w:val="both"/>
        <w:rPr/>
      </w:pPr>
      <w:r>
        <w:rPr>
          <w:sz w:val="21"/>
          <w:szCs w:val="21"/>
        </w:rPr>
        <w:t>To be completed based on the payment option selected in Clause 5.3. The Provider shall issue a signed payment schedule/invoice reflecting the exact due dates and amounts once the Client's selection is confirmed.</w:t>
      </w:r>
    </w:p>
    <w:sectPr>
      <w:type w:val="nextPage"/>
      <w:pgSz w:w="12240" w:h="15840"/>
      <w:pgMar w:left="1000" w:right="1000" w:gutter="0" w:header="0" w:top="900" w:footer="0"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6</Pages>
  <Words>2136</Words>
  <Characters>11979</Characters>
  <CharactersWithSpaces>14018</CharactersWithSpaces>
  <Paragraphs>107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2026-09-12T03:21:47Z</dcterms:created>
  <dc:creator>Un-named</dc:creator>
  <dc:description/>
  <dc:language>en-IN</dc:language>
  <cp:lastModifiedBy/>
  <dcterms:modified xsi:type="dcterms:W3CDTF">2026-09-13T07:58:29Z</dcterms:modified>
  <cp:revision>2</cp:revision>
  <dc:subject/>
  <dc:title/>
</cp:coreProperties>
</file>