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1.svg" ContentType="image/svg+xml"/>
  <Override PartName="/word/media/image2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text" w:horzAnchor="margin" w:tblpXSpec="center" w:tblpY="-67"/>
        <w:tblW w:w="99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4"/>
        <w:gridCol w:w="4669"/>
      </w:tblGrid>
      <w:tr w14:paraId="4CA9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094B5CF5">
            <w:pPr>
              <w:tabs>
                <w:tab w:val="center" w:pos="567"/>
              </w:tabs>
              <w:spacing w:after="0"/>
              <w:ind w:hanging="105"/>
              <w:rPr>
                <w:rFonts w:ascii="Tahoma" w:hAnsi="Tahoma" w:cs="Tahoma" w:eastAsiaTheme="minorEastAsia"/>
                <w:b/>
                <w:bCs/>
                <w:color w:val="232E50"/>
                <w:sz w:val="24"/>
                <w:szCs w:val="24"/>
              </w:rPr>
            </w:pPr>
            <w:r>
              <w:rPr>
                <w:rFonts w:ascii="Tahoma" w:hAnsi="Tahoma" w:cs="Tahoma" w:eastAsiaTheme="minorEastAsia"/>
                <w:b/>
                <w:color w:val="232E50"/>
                <w:sz w:val="24"/>
              </w:rPr>
              <w:t>№ 101-КП от 12.05.2026</w:t>
            </w:r>
            <w:r>
              <w:rPr>
                <w:rFonts w:ascii="Tahoma" w:hAnsi="Tahoma" w:eastAsia="Calibri" w:cs="Tahoma"/>
                <w:i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2B39DA61">
            <w:pPr>
              <w:spacing w:after="0" w:line="240" w:lineRule="auto"/>
              <w:ind w:left="41"/>
              <w:rPr>
                <w:rFonts w:ascii="Tahoma" w:hAnsi="Tahoma" w:cs="Tahoma" w:eastAsiaTheme="minorEastAsia"/>
                <w:b/>
                <w:bCs/>
                <w:color w:val="232E50"/>
                <w:sz w:val="24"/>
                <w:szCs w:val="24"/>
              </w:rPr>
            </w:pPr>
            <w:bookmarkStart w:id="0" w:name="_Hlk227855762"/>
            <w:bookmarkEnd w:id="0"/>
            <w:r>
              <w:rPr>
                <w:rFonts w:eastAsia="Calibri" w:asciiTheme="minorHAnsi" w:hAnsiTheme="minorHAnsi" w:cstheme="minorBidi"/>
                <w:sz w:val="24"/>
              </w:rPr>
              <w:t>ADM_NAME_1</w:t>
            </w:r>
            <w:r>
              <w:rPr>
                <w:rFonts w:eastAsia="Calibri" w:asciiTheme="minorHAnsi" w:hAnsiTheme="minorHAnsi" w:cstheme="minorBidi"/>
                <w:sz w:val="24"/>
                <w:szCs w:val="24"/>
              </w:rPr>
              <w:t xml:space="preserve"> </w:t>
            </w:r>
          </w:p>
          <w:p w14:paraId="657B77A1">
            <w:pPr>
              <w:rPr>
                <w:rFonts w:ascii="Tahoma" w:hAnsi="Tahoma" w:cs="Tahoma" w:eastAsiaTheme="minorHAnsi"/>
                <w:b/>
                <w:bCs/>
                <w:color w:val="232E50"/>
                <w:sz w:val="24"/>
                <w:szCs w:val="24"/>
              </w:rPr>
            </w:pPr>
          </w:p>
        </w:tc>
      </w:tr>
    </w:tbl>
    <w:p w14:paraId="14BFCE8D">
      <w:pPr>
        <w:spacing w:after="60" w:line="240" w:lineRule="auto"/>
        <w:rPr>
          <w:rFonts w:ascii="Tahoma" w:hAnsi="Tahoma" w:cs="Tahoma"/>
          <w:b/>
          <w:color w:val="484F6A"/>
          <w:sz w:val="24"/>
          <w:szCs w:val="24"/>
        </w:rPr>
      </w:pPr>
    </w:p>
    <w:p w14:paraId="1D63A54E">
      <w:pPr>
        <w:spacing w:after="60" w:line="240" w:lineRule="auto"/>
        <w:jc w:val="center"/>
        <w:rPr>
          <w:rFonts w:ascii="Tahoma" w:hAnsi="Tahoma" w:cs="Tahoma"/>
          <w:b/>
          <w:color w:val="232E50"/>
          <w:sz w:val="24"/>
          <w:szCs w:val="24"/>
        </w:rPr>
      </w:pPr>
      <w:bookmarkStart w:id="1" w:name="_Hlk201577599"/>
      <w:bookmarkEnd w:id="1"/>
    </w:p>
    <w:p w14:paraId="12C97004">
      <w:pPr>
        <w:spacing w:after="60" w:line="240" w:lineRule="auto"/>
        <w:jc w:val="center"/>
      </w:pPr>
      <w:r>
        <w:rPr>
          <w:rFonts w:ascii="Tahoma" w:hAnsi="Tahoma" w:cs="Tahoma"/>
          <w:b/>
          <w:color w:val="232E50"/>
          <w:sz w:val="24"/>
          <w:szCs w:val="24"/>
        </w:rPr>
        <w:t>КОММЕРЧЕСКОЕ ПРЕДЛОЖЕНИЕ</w:t>
      </w:r>
    </w:p>
    <w:p w14:paraId="54DAF24A">
      <w:pPr>
        <w:spacing w:after="0"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ООО «Параллельные Решения» предлагает выполнить работы по разработке </w:t>
      </w:r>
      <w:r>
        <w:rPr>
          <w:rFonts w:ascii="Tahoma" w:hAnsi="Tahoma" w:cs="Tahoma" w:eastAsiaTheme="minorEastAsia"/>
          <w:b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проекта местных нормативов градостроительного проектирования</w:t>
      </w: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ascii="Tahoma" w:hAnsi="Tahoma" w:cs="Tahoma" w:eastAsiaTheme="minorEastAsia"/>
          <w:color w:val="595959" w:themeColor="text1" w:themeTint="A6"/>
          <w:sz w:val="21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MUN_NAME_2 MUN_R_NAME_1 SUB_RF_1</w:t>
      </w:r>
      <w:r>
        <w:rPr>
          <w:b/>
          <w:bCs/>
          <w:sz w:val="21"/>
          <w:szCs w:val="21"/>
        </w:rPr>
        <w:t xml:space="preserve">. </w:t>
      </w:r>
    </w:p>
    <w:p w14:paraId="6E8DDA7F">
      <w:pPr>
        <w:spacing w:after="0" w:line="240" w:lineRule="auto"/>
        <w:ind w:right="474"/>
        <w:jc w:val="both"/>
        <w:rPr>
          <w:rFonts w:hint="default" w:ascii="Tahoma" w:hAnsi="Tahoma" w:cs="Tahoma" w:eastAsiaTheme="minorEastAsia"/>
          <w:color w:val="595959" w:themeColor="text1" w:themeTint="A6"/>
          <w:sz w:val="21"/>
          <w:szCs w:val="21"/>
          <w:lang w:val="ru-RU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3041D44">
      <w:pPr>
        <w:spacing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В стоимость работ включены консультационное сопровождение Заказчика на всех этапах, сбор и анализ исходных данных, подготовка проектных материалов и сопровождение согласования проекта до его утверждения.</w:t>
      </w:r>
    </w:p>
    <w:tbl>
      <w:tblPr>
        <w:tblStyle w:val="16"/>
        <w:tblW w:w="10163" w:type="dxa"/>
        <w:tblInd w:w="9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8"/>
        <w:gridCol w:w="1745"/>
      </w:tblGrid>
      <w:tr w14:paraId="3026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8418" w:type="dxa"/>
            <w:shd w:val="clear" w:color="auto" w:fill="D8D8D8" w:themeFill="background1" w:themeFillShade="D9"/>
            <w:vAlign w:val="center"/>
          </w:tcPr>
          <w:p w14:paraId="5FE39F87">
            <w:pPr>
              <w:pStyle w:val="24"/>
              <w:jc w:val="center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Вид работ</w:t>
            </w:r>
          </w:p>
        </w:tc>
        <w:tc>
          <w:tcPr>
            <w:tcW w:w="1745" w:type="dxa"/>
            <w:shd w:val="clear" w:color="auto" w:fill="D8D8D8" w:themeFill="background1" w:themeFillShade="D9"/>
            <w:vAlign w:val="center"/>
          </w:tcPr>
          <w:p w14:paraId="3A6BF87A">
            <w:pPr>
              <w:pStyle w:val="24"/>
              <w:jc w:val="center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Стоимость,</w:t>
            </w:r>
          </w:p>
          <w:p w14:paraId="5B283284">
            <w:pPr>
              <w:pStyle w:val="24"/>
              <w:jc w:val="center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руб.</w:t>
            </w:r>
          </w:p>
        </w:tc>
      </w:tr>
      <w:tr w14:paraId="491C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8418" w:type="dxa"/>
            <w:vAlign w:val="center"/>
          </w:tcPr>
          <w:p w14:paraId="5CE34B37">
            <w:pPr>
              <w:pStyle w:val="24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eastAsia="Calibri" w:cs="Tahoma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Выполнение работ по разработке проекта местных нормативов градостроительного проектирования </w:t>
            </w:r>
            <w:r>
              <w:rPr>
                <w:rFonts w:ascii="Tahoma" w:hAnsi="Tahoma" w:eastAsia="Calibri" w:cs="Tahoma"/>
                <w:color w:val="595959" w:themeColor="text1" w:themeTint="A6"/>
                <w:sz w:val="21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MUN_NAME_2 MUN_R_NAME_1 SUB_RF_1</w:t>
            </w:r>
            <w:r>
              <w:rPr>
                <w:rFonts w:eastAsia="Calibri" w:asciiTheme="minorHAnsi" w:hAnsiTheme="minorHAnsi" w:cstheme="minorBid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1745" w:type="dxa"/>
            <w:vAlign w:val="center"/>
          </w:tcPr>
          <w:p w14:paraId="16C971B9">
            <w:pPr>
              <w:pStyle w:val="24"/>
              <w:jc w:val="right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eastAsia="Calibri" w:cs="Tahoma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99 000,00</w:t>
            </w:r>
          </w:p>
        </w:tc>
      </w:tr>
      <w:tr w14:paraId="7B70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8418" w:type="dxa"/>
            <w:vAlign w:val="center"/>
          </w:tcPr>
          <w:p w14:paraId="646F4081">
            <w:pPr>
              <w:pStyle w:val="24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b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ИТОГО:</w:t>
            </w:r>
          </w:p>
        </w:tc>
        <w:tc>
          <w:tcPr>
            <w:tcW w:w="1745" w:type="dxa"/>
            <w:vAlign w:val="center"/>
          </w:tcPr>
          <w:p w14:paraId="1B0A767F">
            <w:pPr>
              <w:pStyle w:val="24"/>
              <w:jc w:val="right"/>
              <w:rPr>
                <w:rFonts w:eastAsia="Calibri" w:asciiTheme="minorHAnsi" w:hAnsiTheme="minorHAnsi" w:cstheme="minorBidi"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b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99</w:t>
            </w:r>
            <w:r>
              <w:rPr>
                <w:rFonts w:ascii="Tahoma" w:hAnsi="Tahoma" w:eastAsia="Calibri" w:cs="Tahoma"/>
                <w:b/>
                <w:bCs/>
                <w:color w:val="595959" w:themeColor="text1" w:themeTint="A6"/>
                <w:sz w:val="20"/>
                <w:szCs w:val="20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 000</w:t>
            </w:r>
            <w:r>
              <w:rPr>
                <w:rFonts w:ascii="Tahoma" w:hAnsi="Tahoma" w:eastAsia="Calibri" w:cs="Tahoma"/>
                <w:b/>
                <w:b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</w:t>
            </w:r>
            <w:r>
              <w:rPr>
                <w:rFonts w:ascii="Tahoma" w:hAnsi="Tahoma" w:eastAsia="Calibri" w:cs="Tahoma"/>
                <w:b/>
                <w:bCs/>
                <w:color w:val="595959" w:themeColor="text1" w:themeTint="A6"/>
                <w:sz w:val="20"/>
                <w:szCs w:val="20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00</w:t>
            </w:r>
          </w:p>
        </w:tc>
      </w:tr>
    </w:tbl>
    <w:p w14:paraId="2DA760D5">
      <w:pPr>
        <w:spacing w:after="0"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Стоимость выполнения работ составляет </w:t>
      </w:r>
      <w:r>
        <w:rPr>
          <w:rFonts w:ascii="Tahoma" w:hAnsi="Tahoma" w:cs="Tahoma" w:eastAsiaTheme="minorEastAsia"/>
          <w:b/>
          <w:bCs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99 000</w:t>
      </w: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(девяносто девять тысяч) рублей 00 копеек, в том числе НДС 5% </w:t>
      </w:r>
      <w:r>
        <w:rPr>
          <w:sz w:val="20"/>
          <w:szCs w:val="20"/>
        </w:rPr>
        <w:t xml:space="preserve">— </w:t>
      </w:r>
      <w:r>
        <w:rPr>
          <w:rFonts w:ascii="Tahoma" w:hAnsi="Tahoma" w:cs="Tahoma" w:eastAsiaTheme="minorEastAsia"/>
          <w:b/>
          <w:bCs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4 714,29 руб.</w:t>
      </w: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093A9A48">
      <w:pPr>
        <w:spacing w:after="0" w:line="240" w:lineRule="auto"/>
        <w:ind w:right="474"/>
        <w:jc w:val="both"/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83D79E6">
      <w:pPr>
        <w:spacing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ООО «Параллельные Решения» специализируется на комплексной разработке документов территориального планирования и градостроительного зонирования. В основе нашей работы — научная методология, глубокая градостроительная экспертиза, современные ГИС-технологии и автоматизация проектных процессов. Это позволяет сформировать качественные, обоснованные и практически применимые проектные решения, снизить риски замечаний при согласовании и обеспечить утверждение проекта в кратчайшие сроки.</w:t>
      </w:r>
    </w:p>
    <w:p w14:paraId="4C2B7161">
      <w:pPr>
        <w:spacing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Просим Вас ознакомиться с проектом договора, технического задания и календарного плана и по возможности направить обратную связь по нашему предложению. В случае заинтересованности готовы провести рабочую консультацию в формате ВКС, обсудить состав работ, сроки, порядок взаимодействия и ответить на вопросы по подготовке нормативов и другой градостроительной документации.</w:t>
      </w:r>
    </w:p>
    <w:p w14:paraId="26EF7F75">
      <w:pPr>
        <w:spacing w:after="0" w:line="240" w:lineRule="auto"/>
        <w:ind w:left="851" w:right="474"/>
        <w:jc w:val="both"/>
        <w:rPr>
          <w:sz w:val="20"/>
          <w:szCs w:val="20"/>
        </w:rPr>
      </w:pP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Срок действия коммерческого предложения: до 31.0</w:t>
      </w:r>
      <w:r>
        <w:rPr>
          <w:rFonts w:hint="default" w:ascii="Tahoma" w:hAnsi="Tahoma" w:cs="Tahoma" w:eastAsiaTheme="minorEastAsia"/>
          <w:color w:val="595959" w:themeColor="text1" w:themeTint="A6"/>
          <w:sz w:val="21"/>
          <w:szCs w:val="21"/>
          <w:lang w:val="ru-RU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7</w:t>
      </w:r>
      <w:r>
        <w:rPr>
          <w:rFonts w:ascii="Tahoma" w:hAnsi="Tahoma" w:cs="Tahoma" w:eastAsiaTheme="minorEastAsia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.2026.</w:t>
      </w:r>
    </w:p>
    <w:p w14:paraId="7CF3E58A">
      <w:pPr>
        <w:spacing w:after="0" w:line="240" w:lineRule="auto"/>
        <w:ind w:right="474"/>
        <w:jc w:val="both"/>
        <w:rPr>
          <w:rFonts w:ascii="Tahoma" w:hAnsi="Tahoma" w:cs="Tahoma" w:eastAsiaTheme="minorEastAsia"/>
          <w:sz w:val="24"/>
          <w:szCs w:val="24"/>
        </w:rPr>
      </w:pPr>
      <w:r>
        <w:rPr>
          <w:rFonts w:ascii="Tahoma" w:hAnsi="Tahoma" w:cs="Tahoma" w:eastAsiaTheme="minorEastAsia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3540760</wp:posOffset>
            </wp:positionH>
            <wp:positionV relativeFrom="paragraph">
              <wp:posOffset>75565</wp:posOffset>
            </wp:positionV>
            <wp:extent cx="1499235" cy="1699895"/>
            <wp:effectExtent l="0" t="0" r="5715" b="14605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69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16"/>
        <w:tblW w:w="10352" w:type="dxa"/>
        <w:tblInd w:w="8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4148"/>
        <w:gridCol w:w="2754"/>
        <w:gridCol w:w="3059"/>
      </w:tblGrid>
      <w:tr w14:paraId="09ED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077D77">
            <w:pPr>
              <w:pStyle w:val="24"/>
              <w:spacing w:beforeAutospacing="0" w:afterAutospacing="0"/>
              <w:jc w:val="both"/>
              <w:rPr>
                <w:rFonts w:ascii="Tahoma" w:hAnsi="Tahoma" w:eastAsia="Calibri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С уважением,</w:t>
            </w:r>
          </w:p>
          <w:p w14:paraId="7D0D1429">
            <w:pPr>
              <w:pStyle w:val="24"/>
              <w:spacing w:beforeAutospacing="0"/>
              <w:jc w:val="both"/>
              <w:rPr>
                <w:rFonts w:eastAsia="Calibri" w:asciiTheme="minorHAnsi" w:hAnsiTheme="minorHAnsi" w:cstheme="minorBidi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  <w:lang w:val="ru-RU"/>
              </w:rPr>
              <w:t>и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сполнитель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  <w:lang w:val="ru-RU"/>
              </w:rPr>
              <w:t>ный</w:t>
            </w:r>
            <w:r>
              <w:rPr>
                <w:rFonts w:hint="default" w:ascii="Tahoma" w:hAnsi="Tahoma" w:eastAsia="Calibri" w:cs="Tahoma"/>
                <w:b/>
                <w:bCs/>
                <w:sz w:val="24"/>
                <w:szCs w:val="24"/>
                <w:lang w:val="ru-RU"/>
              </w:rPr>
              <w:t xml:space="preserve"> д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иректор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 w14:paraId="79CB6439">
            <w:pPr>
              <w:spacing w:after="120" w:line="240" w:lineRule="auto"/>
              <w:ind w:left="851" w:firstLine="567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D0DE50">
            <w:pPr>
              <w:spacing w:after="0" w:afterAutospacing="0" w:line="240" w:lineRule="auto"/>
              <w:ind w:left="0" w:leftChars="0" w:firstLine="0" w:firstLineChars="0"/>
              <w:jc w:val="both"/>
              <w:rPr>
                <w:rFonts w:asciiTheme="minorHAnsi" w:hAnsiTheme="minorHAnsi" w:eastAsiaTheme="minorHAnsi" w:cstheme="minorBidi"/>
              </w:rPr>
            </w:pPr>
            <w:r>
              <w:rPr>
                <w:rFonts w:ascii="Tahoma" w:hAnsi="Tahoma" w:cs="Tahoma" w:eastAsiaTheme="minorEastAsia"/>
                <w:b/>
                <w:color w:val="232E50"/>
                <w:sz w:val="24"/>
                <w:szCs w:val="24"/>
              </w:rPr>
              <w:t>К.И. Крашенинников</w:t>
            </w:r>
          </w:p>
        </w:tc>
      </w:tr>
      <w:tr w14:paraId="601D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79AF02">
            <w:pPr>
              <w:spacing w:beforeAutospacing="0" w:after="0" w:afterAutospacing="0" w:line="360" w:lineRule="auto"/>
              <w:ind w:left="0" w:leftChars="0" w:firstLine="0" w:firstLineChars="0"/>
              <w:jc w:val="both"/>
              <w:rPr>
                <w:rFonts w:ascii="Tahoma" w:hAnsi="Tahoma" w:eastAsia="Calibri" w:cs="Tahoma"/>
                <w:b/>
                <w:bCs/>
                <w:color w:val="232E50"/>
                <w:sz w:val="18"/>
                <w:szCs w:val="18"/>
                <w:lang w:val="ru-RU" w:eastAsia="zh-CN" w:bidi="hi-IN"/>
              </w:rPr>
            </w:pPr>
            <w:r>
              <w:rPr>
                <w:rFonts w:ascii="Tahoma" w:hAnsi="Tahoma" w:eastAsia="Calibri" w:cs="Tahoma"/>
                <w:b/>
                <w:bCs/>
                <w:color w:val="232E50"/>
                <w:sz w:val="18"/>
                <w:szCs w:val="18"/>
              </w:rPr>
              <w:t>Исп. Крашенинников Константин</w:t>
            </w:r>
            <w:bookmarkStart w:id="2" w:name="_GoBack"/>
            <w:bookmarkEnd w:id="2"/>
          </w:p>
        </w:tc>
        <w:tc>
          <w:tcPr>
            <w:tcW w:w="2754" w:type="dxa"/>
            <w:vMerge w:val="restart"/>
            <w:tcBorders>
              <w:top w:val="nil"/>
              <w:left w:val="nil"/>
              <w:right w:val="nil"/>
            </w:tcBorders>
          </w:tcPr>
          <w:p w14:paraId="1D40067E">
            <w:pPr>
              <w:spacing w:after="120" w:line="240" w:lineRule="auto"/>
              <w:ind w:left="851" w:firstLine="567"/>
              <w:jc w:val="right"/>
              <w:rPr>
                <w:rFonts w:ascii="Tahoma" w:hAnsi="Tahoma" w:eastAsia="Calibri" w:cs="Tahoma"/>
                <w:sz w:val="24"/>
                <w:szCs w:val="24"/>
              </w:rPr>
            </w:pPr>
          </w:p>
        </w:tc>
        <w:tc>
          <w:tcPr>
            <w:tcW w:w="305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C45E2DF">
            <w:pPr>
              <w:spacing w:after="120" w:line="240" w:lineRule="auto"/>
              <w:ind w:left="163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-889000</wp:posOffset>
                  </wp:positionV>
                  <wp:extent cx="4294505" cy="2900680"/>
                  <wp:effectExtent l="0" t="0" r="0" b="0"/>
                  <wp:wrapNone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505" cy="290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F0A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62505">
            <w:pPr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:lang w:val="ru-RU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2400935</wp:posOffset>
                  </wp:positionH>
                  <wp:positionV relativeFrom="paragraph">
                    <wp:posOffset>11430</wp:posOffset>
                  </wp:positionV>
                  <wp:extent cx="3452495" cy="3348990"/>
                  <wp:effectExtent l="0" t="0" r="14605" b="3810"/>
                  <wp:wrapNone/>
                  <wp:docPr id="9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95" cy="3348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  <w:lang w:val="ru-RU"/>
              </w:rPr>
              <w:t xml:space="preserve">  </w:t>
            </w: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</w:rPr>
              <w:drawing>
                <wp:inline distT="0" distB="0" distL="0" distR="0">
                  <wp:extent cx="113030" cy="121285"/>
                  <wp:effectExtent l="0" t="0" r="1270" b="12065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21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00410">
            <w:pPr>
              <w:spacing w:beforeAutospacing="0" w:after="0" w:afterAutospacing="0" w:line="240" w:lineRule="auto"/>
              <w:ind w:left="0" w:leftChars="0" w:right="1390" w:rightChars="632" w:firstLine="0" w:firstLineChars="0"/>
              <w:jc w:val="lef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тел. +7 9</w:t>
            </w: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:lang w:val="ru-RU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93 079-5</w:t>
            </w: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5-61</w:t>
            </w:r>
          </w:p>
        </w:tc>
        <w:tc>
          <w:tcPr>
            <w:tcW w:w="2754" w:type="dxa"/>
            <w:vMerge w:val="continue"/>
            <w:tcBorders>
              <w:left w:val="nil"/>
              <w:right w:val="nil"/>
            </w:tcBorders>
          </w:tcPr>
          <w:p w14:paraId="6846BD14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right w:val="nil"/>
            </w:tcBorders>
            <w:vAlign w:val="bottom"/>
          </w:tcPr>
          <w:p w14:paraId="105BEC1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  <w:tr w14:paraId="722F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24C0C">
            <w:pPr>
              <w:spacing w:beforeAutospacing="0" w:after="0" w:afterAutospacing="0" w:line="240" w:lineRule="auto"/>
              <w:ind w:left="0" w:leftChars="0" w:right="1760" w:rightChars="800" w:firstLine="0" w:firstLineChars="0"/>
              <w:jc w:val="left"/>
              <w:rPr>
                <w:rFonts w:ascii="Tahoma" w:hAnsi="Tahoma" w:cs="Tahoma" w:eastAsiaTheme="minorEastAsia"/>
                <w:color w:val="595959" w:themeColor="text1" w:themeTint="A6"/>
                <w:sz w:val="18"/>
                <w:szCs w:val="18"/>
                <w:lang w:val="en-US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drawing>
                <wp:inline distT="0" distB="0" distL="0" distR="0">
                  <wp:extent cx="118745" cy="80645"/>
                  <wp:effectExtent l="0" t="0" r="14605" b="14605"/>
                  <wp:docPr id="10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8745" cy="80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87D9F">
            <w:pPr>
              <w:spacing w:beforeAutospacing="0" w:after="0" w:afterAutospacing="0" w:line="360" w:lineRule="auto"/>
              <w:ind w:left="0" w:leftChars="0" w:right="1760" w:rightChars="800" w:firstLine="0" w:firstLineChars="0"/>
              <w:jc w:val="left"/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begin"/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instrText xml:space="preserve"> HYPERLINK "mailto:ks@parresh.ru" </w:instrTex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separate"/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ks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@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parresh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.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ru</w: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end"/>
            </w:r>
          </w:p>
        </w:tc>
        <w:tc>
          <w:tcPr>
            <w:tcW w:w="2754" w:type="dxa"/>
            <w:vMerge w:val="continue"/>
            <w:tcBorders>
              <w:left w:val="nil"/>
              <w:bottom w:val="nil"/>
              <w:right w:val="nil"/>
            </w:tcBorders>
          </w:tcPr>
          <w:p w14:paraId="3284D40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53262C3D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</w:tbl>
    <w:p w14:paraId="71C33E19">
      <w:pPr>
        <w:tabs>
          <w:tab w:val="left" w:pos="11482"/>
        </w:tabs>
        <w:spacing w:after="0" w:line="240" w:lineRule="auto"/>
        <w:ind w:right="49"/>
        <w:jc w:val="center"/>
        <w:rPr>
          <w:rFonts w:ascii="Tahoma" w:hAnsi="Tahoma" w:cs="Tahoma"/>
          <w:b/>
          <w:sz w:val="6"/>
          <w:szCs w:val="6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777" w:right="244" w:bottom="323" w:left="125" w:header="720" w:footer="0" w:gutter="0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ontserrat">
    <w:altName w:val="Liberation Mono"/>
    <w:panose1 w:val="00000000000000000000"/>
    <w:charset w:val="CC"/>
    <w:family w:val="auto"/>
    <w:pitch w:val="default"/>
    <w:sig w:usb0="00000000" w:usb1="00000000" w:usb2="00000000" w:usb3="00000000" w:csb0="00000197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10636" w:type="dxa"/>
      <w:tblInd w:w="42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776"/>
      <w:gridCol w:w="4860"/>
    </w:tblGrid>
    <w:tr w14:paraId="649EC8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776" w:type="dxa"/>
          <w:tcBorders>
            <w:top w:val="nil"/>
            <w:left w:val="nil"/>
            <w:bottom w:val="nil"/>
            <w:right w:val="nil"/>
          </w:tcBorders>
        </w:tcPr>
        <w:p w14:paraId="2306DF44">
          <w:pPr>
            <w:tabs>
              <w:tab w:val="left" w:pos="251"/>
              <w:tab w:val="left" w:pos="586"/>
            </w:tabs>
            <w:ind w:right="567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38735</wp:posOffset>
                </wp:positionV>
                <wp:extent cx="3530600" cy="446405"/>
                <wp:effectExtent l="0" t="0" r="0" b="0"/>
                <wp:wrapSquare wrapText="bothSides"/>
                <wp:docPr id="6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0" cy="446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59AFEAA0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Общество с ограниченной ответственностью</w:t>
          </w:r>
        </w:p>
        <w:p w14:paraId="4CC8DB6F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«Параллельные Решения» (ООО «ПР»)</w:t>
          </w:r>
        </w:p>
        <w:p w14:paraId="50970CF6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</w:pPr>
        </w:p>
        <w:p w14:paraId="4DD918D3">
          <w:pPr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195220, г. Санкт-Петербург, </w:t>
          </w:r>
        </w:p>
        <w:p w14:paraId="1C9A403B">
          <w:pPr>
            <w:spacing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Кушелевская дор, д. 12 литера А, помещ. 2-н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ИНН 5038110107, КПП 780401001,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 xml:space="preserve">ОГРН 1145038110458, 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 xml:space="preserve">т. +7 (812) 242-93-12, 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  <w:lang w:val="en-US"/>
            </w:rPr>
            <w:t>parresh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.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  <w:lang w:val="en-US"/>
            </w:rPr>
            <w:t>ru</w:t>
          </w:r>
        </w:p>
      </w:tc>
    </w:tr>
  </w:tbl>
  <w:p w14:paraId="3A7682D8">
    <w:pPr>
      <w:pStyle w:val="9"/>
    </w:pPr>
  </w:p>
  <w:p w14:paraId="6F8668A4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446A0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10636" w:type="dxa"/>
      <w:tblInd w:w="42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776"/>
      <w:gridCol w:w="4860"/>
    </w:tblGrid>
    <w:tr w14:paraId="04C7445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776" w:type="dxa"/>
          <w:tcBorders>
            <w:top w:val="nil"/>
            <w:left w:val="nil"/>
            <w:bottom w:val="nil"/>
            <w:right w:val="nil"/>
          </w:tcBorders>
        </w:tcPr>
        <w:p w14:paraId="6B3E4414">
          <w:pPr>
            <w:tabs>
              <w:tab w:val="left" w:pos="251"/>
              <w:tab w:val="left" w:pos="586"/>
            </w:tabs>
            <w:ind w:right="567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38735</wp:posOffset>
                </wp:positionV>
                <wp:extent cx="3530600" cy="446405"/>
                <wp:effectExtent l="0" t="0" r="0" b="0"/>
                <wp:wrapSquare wrapText="bothSides"/>
                <wp:docPr id="7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0" cy="446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4EC6A4DB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Общество с ограниченной ответственностью</w:t>
          </w:r>
        </w:p>
        <w:p w14:paraId="35AF4D7C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«Параллельные Решения» (ООО «ПР»)</w:t>
          </w:r>
        </w:p>
        <w:p w14:paraId="213C656A">
          <w:pPr>
            <w:tabs>
              <w:tab w:val="left" w:pos="11340"/>
            </w:tabs>
            <w:spacing w:after="0" w:line="240" w:lineRule="auto"/>
            <w:ind w:left="504" w:right="24" w:hanging="9"/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</w:pPr>
        </w:p>
        <w:p w14:paraId="250B6568">
          <w:pPr>
            <w:spacing w:after="0"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195220, г. Санкт-Петербург, </w:t>
          </w:r>
        </w:p>
        <w:p w14:paraId="413E0EB6">
          <w:pPr>
            <w:spacing w:line="240" w:lineRule="auto"/>
            <w:ind w:left="504" w:right="24" w:hanging="9"/>
            <w:rPr>
              <w:rFonts w:eastAsia="Calibri" w:asciiTheme="minorHAnsi" w:hAnsiTheme="minorHAnsi" w:cstheme="minorBidi"/>
            </w:rPr>
          </w:pP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Кушелевская дор, д. 12 литера А, помещ. 2-н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ИНН 5038110107, КПП 780401001,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 xml:space="preserve">ОГРН 1145038110458, 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br w:type="textWrapping"/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 xml:space="preserve">т. +7 (812) 242-93-12, 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  <w:lang w:val="en-US"/>
            </w:rPr>
            <w:t>parresh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</w:rPr>
            <w:t>.</w:t>
          </w:r>
          <w:r>
            <w:rPr>
              <w:rFonts w:ascii="Montserrat" w:hAnsi="Montserrat" w:eastAsia="Calibri" w:cstheme="minorBidi"/>
              <w:bCs/>
              <w:color w:val="232E50"/>
              <w:sz w:val="16"/>
              <w:szCs w:val="16"/>
              <w:lang w:val="en-US"/>
            </w:rPr>
            <w:t>ru</w:t>
          </w:r>
        </w:p>
      </w:tc>
    </w:tr>
  </w:tbl>
  <w:p w14:paraId="6B95B0D8">
    <w:pPr>
      <w:pStyle w:val="9"/>
    </w:pPr>
  </w:p>
  <w:p w14:paraId="68AE363E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EF"/>
    <w:rsid w:val="00066DAE"/>
    <w:rsid w:val="000976E3"/>
    <w:rsid w:val="000F4A3E"/>
    <w:rsid w:val="00374E40"/>
    <w:rsid w:val="006431EF"/>
    <w:rsid w:val="007630A7"/>
    <w:rsid w:val="00A55094"/>
    <w:rsid w:val="00A77289"/>
    <w:rsid w:val="00C272EE"/>
    <w:rsid w:val="00C35768"/>
    <w:rsid w:val="0B002699"/>
    <w:rsid w:val="0D953957"/>
    <w:rsid w:val="0E3A6663"/>
    <w:rsid w:val="1B182A6C"/>
    <w:rsid w:val="1E7F6019"/>
    <w:rsid w:val="203D39F0"/>
    <w:rsid w:val="26731922"/>
    <w:rsid w:val="29A77266"/>
    <w:rsid w:val="2D6C5B94"/>
    <w:rsid w:val="330907C6"/>
    <w:rsid w:val="380A1B7E"/>
    <w:rsid w:val="3BE86656"/>
    <w:rsid w:val="3F126122"/>
    <w:rsid w:val="48496326"/>
    <w:rsid w:val="487D0FBF"/>
    <w:rsid w:val="49250A73"/>
    <w:rsid w:val="4E9E2531"/>
    <w:rsid w:val="512B5200"/>
    <w:rsid w:val="51435670"/>
    <w:rsid w:val="571376E9"/>
    <w:rsid w:val="58A96885"/>
    <w:rsid w:val="598F1771"/>
    <w:rsid w:val="5A0C4E48"/>
    <w:rsid w:val="5D67264C"/>
    <w:rsid w:val="5F1F779F"/>
    <w:rsid w:val="640B65C1"/>
    <w:rsid w:val="64205BC6"/>
    <w:rsid w:val="69863E30"/>
    <w:rsid w:val="6C2F630D"/>
    <w:rsid w:val="6D290723"/>
    <w:rsid w:val="6ED01D59"/>
    <w:rsid w:val="6EED710A"/>
    <w:rsid w:val="6FBB3D5B"/>
    <w:rsid w:val="74742919"/>
    <w:rsid w:val="7BBD6531"/>
    <w:rsid w:val="7BCD09AD"/>
    <w:rsid w:val="7C5E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name="heading 1"/>
    <w:lsdException w:qFormat="1" w:unhideWhenUsed="0" w:uiPriority="0" w:name="heading 2"/>
    <w:lsdException w:qFormat="1" w:unhideWhenUsed="0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zh-CN" w:bidi="hi-IN"/>
    </w:rPr>
  </w:style>
  <w:style w:type="paragraph" w:styleId="2">
    <w:name w:val="heading 1"/>
    <w:basedOn w:val="1"/>
    <w:next w:val="1"/>
    <w:semiHidden/>
    <w:qFormat/>
    <w:uiPriority w:val="0"/>
    <w:pPr>
      <w:spacing w:beforeAutospacing="1" w:afterAutospacing="1"/>
      <w:outlineLvl w:val="0"/>
    </w:pPr>
    <w:rPr>
      <w:sz w:val="40"/>
    </w:rPr>
  </w:style>
  <w:style w:type="paragraph" w:styleId="3">
    <w:name w:val="heading 2"/>
    <w:basedOn w:val="1"/>
    <w:next w:val="1"/>
    <w:semiHidden/>
    <w:qFormat/>
    <w:uiPriority w:val="0"/>
    <w:pPr>
      <w:spacing w:beforeAutospacing="1" w:afterAutospacing="1"/>
      <w:outlineLvl w:val="1"/>
    </w:pPr>
    <w:rPr>
      <w:sz w:val="32"/>
    </w:rPr>
  </w:style>
  <w:style w:type="paragraph" w:styleId="4">
    <w:name w:val="heading 3"/>
    <w:basedOn w:val="1"/>
    <w:next w:val="1"/>
    <w:semiHidden/>
    <w:qFormat/>
    <w:uiPriority w:val="0"/>
    <w:pPr>
      <w:spacing w:beforeAutospacing="1" w:afterAutospacing="1"/>
      <w:outlineLvl w:val="2"/>
    </w:pPr>
    <w:rPr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</w:rPr>
  </w:style>
  <w:style w:type="paragraph" w:styleId="10">
    <w:name w:val="Body Text"/>
    <w:basedOn w:val="1"/>
    <w:qFormat/>
    <w:uiPriority w:val="0"/>
    <w:pPr>
      <w:spacing w:after="140"/>
    </w:pPr>
  </w:style>
  <w:style w:type="paragraph" w:styleId="11">
    <w:name w:val="index heading"/>
    <w:basedOn w:val="1"/>
    <w:qFormat/>
    <w:uiPriority w:val="0"/>
    <w:pPr>
      <w:suppressLineNumbers/>
    </w:pPr>
    <w:rPr>
      <w:rFonts w:cs="Arial"/>
    </w:rPr>
  </w:style>
  <w:style w:type="paragraph" w:styleId="12">
    <w:name w:val="Title"/>
    <w:basedOn w:val="1"/>
    <w:next w:val="10"/>
    <w:qFormat/>
    <w:uiPriority w:val="0"/>
    <w:pPr>
      <w:spacing w:afterAutospacing="1"/>
    </w:pPr>
    <w:rPr>
      <w:sz w:val="52"/>
    </w:rPr>
  </w:style>
  <w:style w:type="paragraph" w:styleId="13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List"/>
    <w:basedOn w:val="10"/>
    <w:qFormat/>
    <w:uiPriority w:val="0"/>
    <w:rPr>
      <w:rFonts w:cs="Arial"/>
    </w:rPr>
  </w:style>
  <w:style w:type="paragraph" w:styleId="15">
    <w:name w:val="Subtitle"/>
    <w:basedOn w:val="1"/>
    <w:next w:val="1"/>
    <w:qFormat/>
    <w:uiPriority w:val="0"/>
    <w:pPr>
      <w:spacing w:afterAutospacing="1"/>
    </w:pPr>
    <w:rPr>
      <w:color w:val="808080"/>
      <w:sz w:val="30"/>
    </w:rPr>
  </w:style>
  <w:style w:type="table" w:styleId="16">
    <w:name w:val="Table Grid"/>
    <w:basedOn w:val="6"/>
    <w:qFormat/>
    <w:uiPriority w:val="59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Верхний колонтитул Знак"/>
    <w:basedOn w:val="5"/>
    <w:link w:val="9"/>
    <w:qFormat/>
    <w:uiPriority w:val="99"/>
    <w:rPr>
      <w:rFonts w:asciiTheme="minorHAnsi" w:hAnsiTheme="minorHAnsi" w:eastAsiaTheme="minorHAnsi" w:cstheme="minorBidi"/>
      <w:sz w:val="22"/>
      <w:szCs w:val="22"/>
    </w:rPr>
  </w:style>
  <w:style w:type="character" w:customStyle="1" w:styleId="18">
    <w:name w:val="Нижний колонтитул Знак"/>
    <w:basedOn w:val="5"/>
    <w:link w:val="13"/>
    <w:qFormat/>
    <w:uiPriority w:val="99"/>
    <w:rPr>
      <w:sz w:val="22"/>
      <w:szCs w:val="22"/>
    </w:rPr>
  </w:style>
  <w:style w:type="paragraph" w:customStyle="1" w:styleId="19">
    <w:name w:val="Заголовок (user)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0">
    <w:name w:val="Указатель (user)"/>
    <w:basedOn w:val="1"/>
    <w:qFormat/>
    <w:uiPriority w:val="0"/>
    <w:pPr>
      <w:suppressLineNumbers/>
    </w:pPr>
    <w:rPr>
      <w:rFonts w:cs="Arial"/>
    </w:rPr>
  </w:style>
  <w:style w:type="paragraph" w:styleId="2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</w:rPr>
  </w:style>
  <w:style w:type="paragraph" w:customStyle="1" w:styleId="22">
    <w:name w:val="Колонтитулы (user)"/>
    <w:basedOn w:val="1"/>
    <w:qFormat/>
    <w:uiPriority w:val="0"/>
  </w:style>
  <w:style w:type="paragraph" w:customStyle="1" w:styleId="23">
    <w:name w:val="Колонтитулы"/>
    <w:basedOn w:val="1"/>
    <w:qFormat/>
    <w:uiPriority w:val="0"/>
  </w:style>
  <w:style w:type="paragraph" w:styleId="24">
    <w:name w:val="No Spacing"/>
    <w:qFormat/>
    <w:uiPriority w:val="1"/>
    <w:pPr>
      <w:widowControl w:val="0"/>
      <w:suppressAutoHyphens/>
    </w:pPr>
    <w:rPr>
      <w:rFonts w:ascii="Calibri" w:hAnsi="Calibri" w:eastAsia="Times New Roman" w:cs="Times New Roman"/>
      <w:sz w:val="22"/>
      <w:szCs w:val="22"/>
      <w:lang w:val="ru-RU" w:eastAsia="zh-CN" w:bidi="hi-IN"/>
    </w:rPr>
  </w:style>
  <w:style w:type="paragraph" w:customStyle="1" w:styleId="25">
    <w:name w:val="Содержимое врезки (user)"/>
    <w:basedOn w:val="1"/>
    <w:qFormat/>
    <w:uiPriority w:val="0"/>
  </w:style>
  <w:style w:type="paragraph" w:customStyle="1" w:styleId="26">
    <w:name w:val="Содержимое врезки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svg"/><Relationship Id="rId16" Type="http://schemas.openxmlformats.org/officeDocument/2006/relationships/image" Target="media/image10.png"/><Relationship Id="rId15" Type="http://schemas.openxmlformats.org/officeDocument/2006/relationships/image" Target="media/image9.sv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C7934B-57C0-40C3-A3B9-9EDFEAB61D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1</Pages>
  <Words>208</Words>
  <Characters>1549</Characters>
  <Lines>1</Lines>
  <Paragraphs>1</Paragraphs>
  <TotalTime>0</TotalTime>
  <ScaleCrop>false</ScaleCrop>
  <LinksUpToDate>false</LinksUpToDate>
  <CharactersWithSpaces>1743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2025-02-27T08:52:00Z</dcterms:created>
  <dc:creator>Пользователь</dc:creator>
  <cp:lastModifiedBy>Фатима Магомедова</cp:lastModifiedBy>
  <cp:lastPrinted>2025-09-26T06:27:00Z</cp:lastPrinted>
  <dcterms:modified xsi:type="dcterms:W3CDTF">2026-07-07T09:00:41Z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eyJoZGlkIjoiZGM5NWU3OTBjZjc3Njk5YjFhNWI4YmZmZmRiNDJmOWMiLCJ1c2VySWQiOiIzODQ4MjkzODk3NTc5In0=</vt:lpwstr>
  </property>
  <property fmtid="{D5CDD505-2E9C-101B-9397-08002B2CF9AE}" pid="3" name="KSOProductBuildVer">
    <vt:lpwstr>1049-12.1.0.26880</vt:lpwstr>
  </property>
  <property fmtid="{D5CDD505-2E9C-101B-9397-08002B2CF9AE}" pid="4" name="ICV">
    <vt:lpwstr>1201807443C946FCB7E3A6E3593D28EA_13</vt:lpwstr>
  </property>
</Properties>
</file>