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seqt8v4ldlh" w:id="0"/>
      <w:bookmarkEnd w:id="0"/>
      <w:r w:rsidDel="00000000" w:rsidR="00000000" w:rsidRPr="00000000">
        <w:rPr>
          <w:rFonts w:ascii="Times New Roman" w:cs="Times New Roman" w:eastAsia="Times New Roman" w:hAnsi="Times New Roman"/>
          <w:b w:val="1"/>
          <w:bCs w:val="1"/>
          <w:sz w:val="34"/>
          <w:szCs w:val="34"/>
          <w:rtl w:val="0"/>
        </w:rPr>
        <w:t xml:space="preserve">Post-Exploitation and Exfiltration Report</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phase, post-exploitation activities were conducted on the compromised Windows system. Credential dumping was performed using Mimikatz, which revealed NTLM hash values and plaintext credentials from system memory. This demonstrates how sensitive authentication data can be exposed after gaining administrative access.</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data exfiltration, DNS tunneling was simulated using a controlled tool. Encoded data was transmitted through DNS queries, and successful communication was verified using domain resolution responses.</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actions highlight the risks of credential exposure and covert data transfer techniques, emphasizing the need for strong monitoring, secure credential storage, and network traffic analysis to detect and prevent such attacks effectively.</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