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pPr>
      <w:bookmarkStart w:colFirst="0" w:colLast="0" w:name="_bqpnb9ktauc7" w:id="0"/>
      <w:bookmarkEnd w:id="0"/>
      <w:r w:rsidDel="00000000" w:rsidR="00000000" w:rsidRPr="00000000">
        <w:rPr>
          <w:rFonts w:ascii="Times New Roman" w:cs="Times New Roman" w:eastAsia="Times New Roman" w:hAnsi="Times New Roman"/>
          <w:b w:val="1"/>
          <w:bCs w:val="1"/>
          <w:sz w:val="34"/>
          <w:szCs w:val="34"/>
          <w:rtl w:val="0"/>
        </w:rPr>
        <w:t xml:space="preserve">Summary:</w:t>
      </w:r>
      <w:r w:rsidDel="00000000" w:rsidR="00000000" w:rsidRPr="00000000">
        <w:rPr>
          <w:rtl w:val="0"/>
        </w:rPr>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demonstrated how a simulated attacker could gain access to a computer system, move within a network, and extract sensitive data. The exercise showed that weak security controls, lack of monitoring, and poor credential protection can lead to system compromise. Suspicious activities such as unusual logins, remote command execution, and abnormal network traffic were observed. The results highlight the importance of strong security measures, regular monitoring, and user awareness. By improving these areas, organizations can better detect attacks early and prevent unauthorized access to critical systems.</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