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6y35s1mhi73" w:id="0"/>
      <w:bookmarkEnd w:id="0"/>
      <w:r w:rsidDel="00000000" w:rsidR="00000000" w:rsidRPr="00000000">
        <w:rPr>
          <w:rFonts w:ascii="Times New Roman" w:cs="Times New Roman" w:eastAsia="Times New Roman" w:hAnsi="Times New Roman"/>
          <w:b w:val="1"/>
          <w:bCs w:val="1"/>
          <w:sz w:val="46"/>
          <w:szCs w:val="46"/>
          <w:rtl w:val="0"/>
        </w:rPr>
        <w:t xml:space="preserve">Executive Brief (Non-Technical Summary)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controlled red team simulation was performed to evaluate the organization’s resilience against modern cyber threats. The assessment demonstrated how phishing attacks, cloud misconfigurations, remote access techniques, and anonymized network traffic could impact security operations. Simulated attacks successfully established remote access, identified cloud exposure risks, and routed communications through anonymized networks. While some attack activity was visible, opportunities remain to improve detection and monitoring capabilities. Key recommendations include enforcing multi-factor authentication, strengthening cloud security controls, improving endpoint monitoring, and enhancing visibility into suspicious outbound traffic to better protect organizational assets and sensitive information.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