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657" w:rsidRPr="00E02657" w:rsidRDefault="00E02657" w:rsidP="00E02657">
      <w:pPr>
        <w:shd w:val="clear" w:color="auto" w:fill="FFFFFF"/>
        <w:spacing w:before="75" w:after="300" w:line="240" w:lineRule="auto"/>
        <w:outlineLvl w:val="1"/>
        <w:rPr>
          <w:rFonts w:ascii="Arial" w:eastAsia="Times New Roman" w:hAnsi="Arial" w:cs="Arial"/>
          <w:b/>
          <w:bCs/>
          <w:color w:val="404040"/>
          <w:sz w:val="42"/>
          <w:szCs w:val="42"/>
          <w:lang w:eastAsia="en-GB"/>
        </w:rPr>
      </w:pPr>
      <w:r w:rsidRPr="00E02657">
        <w:rPr>
          <w:rFonts w:ascii="Arial" w:eastAsia="Times New Roman" w:hAnsi="Arial" w:cs="Arial"/>
          <w:b/>
          <w:bCs/>
          <w:color w:val="404040"/>
          <w:sz w:val="42"/>
          <w:szCs w:val="42"/>
          <w:lang w:eastAsia="en-GB"/>
        </w:rPr>
        <w:t>KPI – Key Performance Indicators</w:t>
      </w:r>
    </w:p>
    <w:p w:rsidR="00E02657" w:rsidRDefault="00E02657" w:rsidP="00E02657">
      <w:pPr>
        <w:pStyle w:val="NormalWeb"/>
        <w:shd w:val="clear" w:color="auto" w:fill="FFFFFF"/>
        <w:spacing w:before="75" w:beforeAutospacing="0" w:after="300" w:afterAutospacing="0"/>
        <w:rPr>
          <w:rFonts w:ascii="Arial" w:hAnsi="Arial" w:cs="Arial"/>
          <w:color w:val="404040"/>
        </w:rPr>
      </w:pPr>
      <w:r>
        <w:rPr>
          <w:rFonts w:ascii="Arial" w:hAnsi="Arial" w:cs="Arial"/>
          <w:color w:val="404040"/>
        </w:rPr>
        <w:t>Using KPI metrics is a way for businesses to quantify their business objectives so they can regularly check up on their performance and determine where they are successful and where they need to improve. The KPIs a business follows will depend upon its particular industry, and while some metrics will be important across an organization, each department will also likely track KPI metrics specific to its own goals.</w:t>
      </w:r>
    </w:p>
    <w:p w:rsidR="00E02657" w:rsidRDefault="00E02657" w:rsidP="00E02657">
      <w:pPr>
        <w:pStyle w:val="NormalWeb"/>
        <w:shd w:val="clear" w:color="auto" w:fill="FFFFFF"/>
        <w:spacing w:before="75" w:beforeAutospacing="0" w:after="300" w:afterAutospacing="0"/>
        <w:rPr>
          <w:rFonts w:ascii="Arial" w:hAnsi="Arial" w:cs="Arial"/>
          <w:color w:val="404040"/>
        </w:rPr>
      </w:pPr>
      <w:r>
        <w:rPr>
          <w:rFonts w:ascii="Arial" w:hAnsi="Arial" w:cs="Arial"/>
          <w:color w:val="404040"/>
        </w:rPr>
        <w:t>KPIs can be used within a company or department to track its goals and determine how best to fine tune its core practices to achieve the best results.</w:t>
      </w:r>
    </w:p>
    <w:p w:rsidR="00E02657" w:rsidRDefault="00E02657" w:rsidP="00E02657">
      <w:pPr>
        <w:pStyle w:val="NormalWeb"/>
        <w:shd w:val="clear" w:color="auto" w:fill="FFFFFF"/>
        <w:spacing w:before="75" w:beforeAutospacing="0" w:after="300" w:afterAutospacing="0"/>
        <w:rPr>
          <w:rFonts w:ascii="Arial" w:hAnsi="Arial" w:cs="Arial"/>
          <w:color w:val="404040"/>
        </w:rPr>
      </w:pPr>
    </w:p>
    <w:p w:rsidR="00E02657" w:rsidRDefault="00E02657" w:rsidP="00E02657">
      <w:pPr>
        <w:pStyle w:val="NormalWeb"/>
        <w:shd w:val="clear" w:color="auto" w:fill="FFFFFF"/>
        <w:spacing w:before="75" w:beforeAutospacing="0" w:after="300" w:afterAutospacing="0"/>
        <w:rPr>
          <w:rFonts w:ascii="Arial" w:hAnsi="Arial" w:cs="Arial"/>
          <w:color w:val="404040"/>
          <w:shd w:val="clear" w:color="auto" w:fill="FFFFFF"/>
        </w:rPr>
      </w:pPr>
      <w:r>
        <w:rPr>
          <w:rFonts w:ascii="Arial" w:hAnsi="Arial" w:cs="Arial"/>
          <w:color w:val="404040"/>
          <w:shd w:val="clear" w:color="auto" w:fill="FFFFFF"/>
        </w:rPr>
        <w:t xml:space="preserve">KPI software capable of creating simple dashboards that track a wide range of KPIs in an easy-to-understand, compelling visual format. </w:t>
      </w:r>
    </w:p>
    <w:p w:rsidR="00E02657" w:rsidRDefault="00E02657" w:rsidP="00E02657">
      <w:pPr>
        <w:pStyle w:val="NormalWeb"/>
        <w:shd w:val="clear" w:color="auto" w:fill="FFFFFF"/>
        <w:spacing w:before="75" w:beforeAutospacing="0" w:after="300" w:afterAutospacing="0"/>
        <w:rPr>
          <w:rFonts w:ascii="Arial" w:hAnsi="Arial" w:cs="Arial"/>
          <w:color w:val="404040"/>
          <w:shd w:val="clear" w:color="auto" w:fill="FFFFFF"/>
        </w:rPr>
      </w:pPr>
      <w:r>
        <w:rPr>
          <w:rFonts w:ascii="Arial" w:hAnsi="Arial" w:cs="Arial"/>
          <w:color w:val="404040"/>
          <w:shd w:val="clear" w:color="auto" w:fill="FFFFFF"/>
        </w:rPr>
        <w:t>Users have the ability to quickly create new KPI dashboards and drill deeper into numbers that explain exactly what is going on in the business.</w:t>
      </w:r>
    </w:p>
    <w:p w:rsidR="00E02657" w:rsidRDefault="00E02657" w:rsidP="00E02657">
      <w:pPr>
        <w:pStyle w:val="NormalWeb"/>
        <w:shd w:val="clear" w:color="auto" w:fill="FFFFFF"/>
        <w:spacing w:before="75" w:beforeAutospacing="0" w:after="300" w:afterAutospacing="0"/>
        <w:rPr>
          <w:rFonts w:ascii="Arial" w:hAnsi="Arial" w:cs="Arial"/>
          <w:color w:val="404040"/>
          <w:shd w:val="clear" w:color="auto" w:fill="FFFFFF"/>
        </w:rPr>
      </w:pPr>
      <w:r>
        <w:rPr>
          <w:rFonts w:ascii="Arial" w:hAnsi="Arial" w:cs="Arial"/>
          <w:color w:val="404040"/>
          <w:shd w:val="clear" w:color="auto" w:fill="FFFFFF"/>
        </w:rPr>
        <w:t xml:space="preserve">Users have access to an extensive range of data that they can </w:t>
      </w:r>
      <w:proofErr w:type="spellStart"/>
      <w:r>
        <w:rPr>
          <w:rFonts w:ascii="Arial" w:hAnsi="Arial" w:cs="Arial"/>
          <w:color w:val="404040"/>
          <w:shd w:val="clear" w:color="auto" w:fill="FFFFFF"/>
        </w:rPr>
        <w:t>analyze</w:t>
      </w:r>
      <w:proofErr w:type="spellEnd"/>
      <w:r>
        <w:rPr>
          <w:rFonts w:ascii="Arial" w:hAnsi="Arial" w:cs="Arial"/>
          <w:color w:val="404040"/>
          <w:shd w:val="clear" w:color="auto" w:fill="FFFFFF"/>
        </w:rPr>
        <w:t xml:space="preserve"> granularly, granting them insight into very specific subsets of information. </w:t>
      </w:r>
    </w:p>
    <w:p w:rsidR="00E02657" w:rsidRDefault="00E02657" w:rsidP="00E02657">
      <w:pPr>
        <w:pStyle w:val="NormalWeb"/>
        <w:shd w:val="clear" w:color="auto" w:fill="FFFFFF"/>
        <w:spacing w:before="75" w:beforeAutospacing="0" w:after="300" w:afterAutospacing="0"/>
        <w:rPr>
          <w:rFonts w:ascii="Arial" w:hAnsi="Arial" w:cs="Arial"/>
          <w:color w:val="404040"/>
          <w:shd w:val="clear" w:color="auto" w:fill="FFFFFF"/>
        </w:rPr>
      </w:pPr>
      <w:r>
        <w:rPr>
          <w:rFonts w:ascii="Arial" w:hAnsi="Arial" w:cs="Arial"/>
          <w:color w:val="404040"/>
          <w:shd w:val="clear" w:color="auto" w:fill="FFFFFF"/>
        </w:rPr>
        <w:t>From there, managers can easily take all of these analyses and automatically convert them into a visual format—charts, tables, gauges, and presentations—which are easy for even non-technical workers to understand.</w:t>
      </w:r>
    </w:p>
    <w:p w:rsidR="00E02657" w:rsidRDefault="00E02657" w:rsidP="00E02657">
      <w:pPr>
        <w:pStyle w:val="NormalWeb"/>
        <w:shd w:val="clear" w:color="auto" w:fill="FFFFFF"/>
        <w:spacing w:before="75" w:beforeAutospacing="0" w:after="300" w:afterAutospacing="0"/>
        <w:rPr>
          <w:rFonts w:ascii="Arial" w:hAnsi="Arial" w:cs="Arial"/>
          <w:color w:val="404040"/>
          <w:shd w:val="clear" w:color="auto" w:fill="FFFFFF"/>
        </w:rPr>
      </w:pPr>
    </w:p>
    <w:p w:rsidR="00E02657" w:rsidRDefault="00E02657" w:rsidP="00E02657">
      <w:pPr>
        <w:pStyle w:val="Heading2"/>
        <w:shd w:val="clear" w:color="auto" w:fill="FFFFFF"/>
        <w:spacing w:before="75" w:beforeAutospacing="0" w:after="300" w:afterAutospacing="0"/>
        <w:rPr>
          <w:rFonts w:ascii="Arial" w:hAnsi="Arial" w:cs="Arial"/>
          <w:color w:val="404040"/>
          <w:sz w:val="42"/>
          <w:szCs w:val="42"/>
        </w:rPr>
      </w:pPr>
      <w:r>
        <w:rPr>
          <w:rFonts w:ascii="Arial" w:hAnsi="Arial" w:cs="Arial"/>
          <w:color w:val="404040"/>
          <w:sz w:val="42"/>
          <w:szCs w:val="42"/>
        </w:rPr>
        <w:t>Examples of KPIs</w:t>
      </w:r>
    </w:p>
    <w:p w:rsidR="00E02657" w:rsidRDefault="00E02657" w:rsidP="00E02657">
      <w:pPr>
        <w:pStyle w:val="NormalWeb"/>
        <w:shd w:val="clear" w:color="auto" w:fill="FFFFFF"/>
        <w:spacing w:before="75" w:beforeAutospacing="0" w:after="300" w:afterAutospacing="0"/>
        <w:rPr>
          <w:rFonts w:ascii="Arial" w:hAnsi="Arial" w:cs="Arial"/>
          <w:color w:val="404040"/>
        </w:rPr>
      </w:pPr>
      <w:r>
        <w:rPr>
          <w:rFonts w:ascii="Arial" w:hAnsi="Arial" w:cs="Arial"/>
          <w:color w:val="404040"/>
        </w:rPr>
        <w:t>The specific KPIs that you need to measure can differ greatly from industry to industry, but when it comes down to it, they are all tracked to aid in accomplishing the same goal: increasing your profit margin. Furthermore, most KPIs fall into one of the following four categories:</w:t>
      </w:r>
    </w:p>
    <w:p w:rsidR="00E02657" w:rsidRDefault="00E02657" w:rsidP="00E02657">
      <w:pPr>
        <w:numPr>
          <w:ilvl w:val="0"/>
          <w:numId w:val="1"/>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Revenue improvement</w:t>
      </w:r>
    </w:p>
    <w:p w:rsidR="00E02657" w:rsidRDefault="00E02657" w:rsidP="00E02657">
      <w:pPr>
        <w:numPr>
          <w:ilvl w:val="0"/>
          <w:numId w:val="1"/>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Cost reduction</w:t>
      </w:r>
    </w:p>
    <w:p w:rsidR="00E02657" w:rsidRDefault="00E02657" w:rsidP="00E02657">
      <w:pPr>
        <w:numPr>
          <w:ilvl w:val="0"/>
          <w:numId w:val="1"/>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Process cycle-time improvement</w:t>
      </w:r>
    </w:p>
    <w:p w:rsidR="00E02657" w:rsidRPr="00E02657" w:rsidRDefault="00E02657" w:rsidP="00E02657">
      <w:pPr>
        <w:numPr>
          <w:ilvl w:val="0"/>
          <w:numId w:val="1"/>
        </w:numPr>
        <w:shd w:val="clear" w:color="auto" w:fill="FFFFFF"/>
        <w:spacing w:before="100" w:beforeAutospacing="1" w:after="100" w:afterAutospacing="1" w:line="240" w:lineRule="auto"/>
        <w:ind w:left="0"/>
        <w:rPr>
          <w:rStyle w:val="Strong"/>
          <w:rFonts w:ascii="Arial" w:hAnsi="Arial" w:cs="Arial"/>
          <w:b w:val="0"/>
          <w:bCs w:val="0"/>
          <w:color w:val="404040"/>
        </w:rPr>
      </w:pPr>
      <w:r>
        <w:rPr>
          <w:rStyle w:val="Strong"/>
          <w:rFonts w:ascii="Arial" w:hAnsi="Arial" w:cs="Arial"/>
          <w:color w:val="404040"/>
        </w:rPr>
        <w:t>Increased customer satisfaction</w:t>
      </w:r>
    </w:p>
    <w:p w:rsidR="00E02657" w:rsidRDefault="00E02657" w:rsidP="00E02657">
      <w:pPr>
        <w:pStyle w:val="Heading3"/>
        <w:shd w:val="clear" w:color="auto" w:fill="FFFFFF"/>
        <w:spacing w:before="75" w:after="300"/>
        <w:rPr>
          <w:rFonts w:ascii="Arial" w:hAnsi="Arial" w:cs="Arial"/>
          <w:color w:val="404040"/>
          <w:sz w:val="31"/>
          <w:szCs w:val="31"/>
        </w:rPr>
      </w:pPr>
      <w:r>
        <w:rPr>
          <w:rFonts w:ascii="Arial" w:hAnsi="Arial" w:cs="Arial"/>
          <w:color w:val="404040"/>
          <w:sz w:val="31"/>
          <w:szCs w:val="31"/>
        </w:rPr>
        <w:t>Business Process – Key Performance Indicators</w:t>
      </w:r>
    </w:p>
    <w:p w:rsidR="00E02657" w:rsidRDefault="00E02657" w:rsidP="00E02657">
      <w:pPr>
        <w:pStyle w:val="Heading3"/>
        <w:shd w:val="clear" w:color="auto" w:fill="FFFFFF"/>
        <w:spacing w:before="75" w:after="300"/>
        <w:rPr>
          <w:rFonts w:ascii="Arial" w:hAnsi="Arial" w:cs="Arial"/>
          <w:color w:val="404040"/>
          <w:sz w:val="31"/>
          <w:szCs w:val="31"/>
        </w:rPr>
      </w:pPr>
      <w:r>
        <w:rPr>
          <w:rFonts w:ascii="Arial" w:hAnsi="Arial" w:cs="Arial"/>
          <w:color w:val="404040"/>
          <w:sz w:val="31"/>
          <w:szCs w:val="31"/>
        </w:rPr>
        <w:t>Service Level Agreement (SLA) – Key Performance Indicators</w:t>
      </w:r>
    </w:p>
    <w:p w:rsidR="00E02657" w:rsidRPr="00E02657" w:rsidRDefault="00E02657" w:rsidP="00E02657">
      <w:pPr>
        <w:shd w:val="clear" w:color="auto" w:fill="FFFFFF"/>
        <w:spacing w:before="75" w:after="300" w:line="240" w:lineRule="auto"/>
        <w:rPr>
          <w:rFonts w:ascii="Arial" w:eastAsia="Times New Roman" w:hAnsi="Arial" w:cs="Arial"/>
          <w:color w:val="404040"/>
          <w:sz w:val="24"/>
          <w:szCs w:val="24"/>
          <w:lang w:eastAsia="en-GB"/>
        </w:rPr>
      </w:pPr>
      <w:r w:rsidRPr="00E02657">
        <w:rPr>
          <w:rFonts w:ascii="Arial" w:eastAsia="Times New Roman" w:hAnsi="Arial" w:cs="Arial"/>
          <w:color w:val="404040"/>
          <w:sz w:val="24"/>
          <w:szCs w:val="24"/>
          <w:lang w:eastAsia="en-GB"/>
        </w:rPr>
        <w:t>The following are key metrics for gauging </w:t>
      </w:r>
      <w:hyperlink r:id="rId5" w:history="1">
        <w:r w:rsidRPr="00E02657">
          <w:rPr>
            <w:rFonts w:ascii="Arial" w:eastAsia="Times New Roman" w:hAnsi="Arial" w:cs="Arial"/>
            <w:color w:val="00579D"/>
            <w:sz w:val="24"/>
            <w:szCs w:val="24"/>
            <w:u w:val="single"/>
            <w:lang w:eastAsia="en-GB"/>
          </w:rPr>
          <w:t>business process</w:t>
        </w:r>
      </w:hyperlink>
      <w:r w:rsidRPr="00E02657">
        <w:rPr>
          <w:rFonts w:ascii="Arial" w:eastAsia="Times New Roman" w:hAnsi="Arial" w:cs="Arial"/>
          <w:color w:val="404040"/>
          <w:sz w:val="24"/>
          <w:szCs w:val="24"/>
          <w:lang w:eastAsia="en-GB"/>
        </w:rPr>
        <w:t> performance:</w:t>
      </w:r>
    </w:p>
    <w:p w:rsidR="00E02657" w:rsidRPr="00E02657" w:rsidRDefault="00E02657" w:rsidP="00E02657">
      <w:pPr>
        <w:numPr>
          <w:ilvl w:val="0"/>
          <w:numId w:val="2"/>
        </w:numPr>
        <w:shd w:val="clear" w:color="auto" w:fill="FFFFFF"/>
        <w:spacing w:before="100" w:beforeAutospacing="1" w:after="100" w:afterAutospacing="1" w:line="240" w:lineRule="auto"/>
        <w:ind w:left="0"/>
        <w:rPr>
          <w:rFonts w:ascii="Arial" w:eastAsia="Times New Roman" w:hAnsi="Arial" w:cs="Arial"/>
          <w:color w:val="404040"/>
          <w:sz w:val="24"/>
          <w:szCs w:val="24"/>
          <w:lang w:eastAsia="en-GB"/>
        </w:rPr>
      </w:pPr>
      <w:r w:rsidRPr="00E02657">
        <w:rPr>
          <w:rFonts w:ascii="Arial" w:eastAsia="Times New Roman" w:hAnsi="Arial" w:cs="Arial"/>
          <w:b/>
          <w:bCs/>
          <w:color w:val="404040"/>
          <w:sz w:val="24"/>
          <w:szCs w:val="24"/>
          <w:lang w:eastAsia="en-GB"/>
        </w:rPr>
        <w:lastRenderedPageBreak/>
        <w:t>Percentage of processes where completion falls within +/- 5% of the estimated completion</w:t>
      </w:r>
    </w:p>
    <w:p w:rsidR="00E02657" w:rsidRPr="00E02657" w:rsidRDefault="00E02657" w:rsidP="00E02657">
      <w:pPr>
        <w:numPr>
          <w:ilvl w:val="0"/>
          <w:numId w:val="2"/>
        </w:numPr>
        <w:shd w:val="clear" w:color="auto" w:fill="FFFFFF"/>
        <w:spacing w:before="100" w:beforeAutospacing="1" w:after="100" w:afterAutospacing="1" w:line="240" w:lineRule="auto"/>
        <w:ind w:left="0"/>
        <w:rPr>
          <w:rFonts w:ascii="Arial" w:eastAsia="Times New Roman" w:hAnsi="Arial" w:cs="Arial"/>
          <w:color w:val="404040"/>
          <w:sz w:val="24"/>
          <w:szCs w:val="24"/>
          <w:lang w:eastAsia="en-GB"/>
        </w:rPr>
      </w:pPr>
      <w:r w:rsidRPr="00E02657">
        <w:rPr>
          <w:rFonts w:ascii="Arial" w:eastAsia="Times New Roman" w:hAnsi="Arial" w:cs="Arial"/>
          <w:b/>
          <w:bCs/>
          <w:color w:val="404040"/>
          <w:sz w:val="24"/>
          <w:szCs w:val="24"/>
          <w:lang w:eastAsia="en-GB"/>
        </w:rPr>
        <w:t>Average process overdue time</w:t>
      </w:r>
    </w:p>
    <w:p w:rsidR="00E02657" w:rsidRPr="00E02657" w:rsidRDefault="00E02657" w:rsidP="00E02657">
      <w:pPr>
        <w:numPr>
          <w:ilvl w:val="0"/>
          <w:numId w:val="2"/>
        </w:numPr>
        <w:shd w:val="clear" w:color="auto" w:fill="FFFFFF"/>
        <w:spacing w:before="100" w:beforeAutospacing="1" w:after="100" w:afterAutospacing="1" w:line="240" w:lineRule="auto"/>
        <w:ind w:left="0"/>
        <w:rPr>
          <w:rFonts w:ascii="Arial" w:eastAsia="Times New Roman" w:hAnsi="Arial" w:cs="Arial"/>
          <w:color w:val="404040"/>
          <w:sz w:val="24"/>
          <w:szCs w:val="24"/>
          <w:lang w:eastAsia="en-GB"/>
        </w:rPr>
      </w:pPr>
      <w:r w:rsidRPr="00E02657">
        <w:rPr>
          <w:rFonts w:ascii="Arial" w:eastAsia="Times New Roman" w:hAnsi="Arial" w:cs="Arial"/>
          <w:b/>
          <w:bCs/>
          <w:color w:val="404040"/>
          <w:sz w:val="24"/>
          <w:szCs w:val="24"/>
          <w:lang w:eastAsia="en-GB"/>
        </w:rPr>
        <w:t>Percentage of overdue processes</w:t>
      </w:r>
    </w:p>
    <w:p w:rsidR="00E02657" w:rsidRDefault="00E02657" w:rsidP="00E02657">
      <w:pPr>
        <w:pStyle w:val="NormalWeb"/>
        <w:shd w:val="clear" w:color="auto" w:fill="FFFFFF"/>
        <w:spacing w:before="75" w:beforeAutospacing="0" w:after="300" w:afterAutospacing="0"/>
        <w:rPr>
          <w:rFonts w:ascii="Arial" w:hAnsi="Arial" w:cs="Arial"/>
          <w:color w:val="404040"/>
          <w:shd w:val="clear" w:color="auto" w:fill="FFFFFF"/>
        </w:rPr>
      </w:pPr>
    </w:p>
    <w:p w:rsidR="00E02657" w:rsidRDefault="00E02657" w:rsidP="00E02657">
      <w:pPr>
        <w:pStyle w:val="Heading3"/>
        <w:shd w:val="clear" w:color="auto" w:fill="FFFFFF"/>
        <w:spacing w:before="75" w:after="300"/>
        <w:rPr>
          <w:rFonts w:ascii="Arial" w:hAnsi="Arial" w:cs="Arial"/>
          <w:color w:val="404040"/>
          <w:sz w:val="31"/>
          <w:szCs w:val="31"/>
        </w:rPr>
      </w:pPr>
      <w:r>
        <w:rPr>
          <w:rFonts w:ascii="Arial" w:hAnsi="Arial" w:cs="Arial"/>
          <w:color w:val="404040"/>
          <w:sz w:val="31"/>
          <w:szCs w:val="31"/>
        </w:rPr>
        <w:t>Service Level Agreement (SLA) – Key Performance Indicators</w:t>
      </w:r>
    </w:p>
    <w:p w:rsidR="00E02657" w:rsidRDefault="00E02657" w:rsidP="00E02657">
      <w:pPr>
        <w:pStyle w:val="NormalWeb"/>
        <w:shd w:val="clear" w:color="auto" w:fill="FFFFFF"/>
        <w:spacing w:before="75" w:beforeAutospacing="0" w:after="300" w:afterAutospacing="0"/>
        <w:rPr>
          <w:rFonts w:ascii="Arial" w:hAnsi="Arial" w:cs="Arial"/>
          <w:color w:val="404040"/>
        </w:rPr>
      </w:pPr>
      <w:r>
        <w:rPr>
          <w:rFonts w:ascii="Arial" w:hAnsi="Arial" w:cs="Arial"/>
          <w:color w:val="404040"/>
        </w:rPr>
        <w:t>The following are key metrics of SLA performance:</w:t>
      </w:r>
    </w:p>
    <w:p w:rsidR="00E02657" w:rsidRDefault="00E02657" w:rsidP="00E02657">
      <w:pPr>
        <w:numPr>
          <w:ilvl w:val="0"/>
          <w:numId w:val="3"/>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Percentage of service requests resolved within an agreed-upon/acceptable period of time</w:t>
      </w:r>
    </w:p>
    <w:p w:rsidR="00E02657" w:rsidRDefault="00E02657" w:rsidP="00E02657">
      <w:pPr>
        <w:numPr>
          <w:ilvl w:val="0"/>
          <w:numId w:val="3"/>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Cost of service delivery as defined in Service Level Agreement (SLA) based on a set period such as month or quarter</w:t>
      </w:r>
    </w:p>
    <w:p w:rsidR="00E02657" w:rsidRDefault="00E02657" w:rsidP="00E02657">
      <w:pPr>
        <w:numPr>
          <w:ilvl w:val="0"/>
          <w:numId w:val="3"/>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Percentage of outage (unavailability) due to implementation of planned changes, relative to the service hours</w:t>
      </w:r>
    </w:p>
    <w:p w:rsidR="00E02657" w:rsidRDefault="00E02657" w:rsidP="00E02657">
      <w:pPr>
        <w:numPr>
          <w:ilvl w:val="0"/>
          <w:numId w:val="3"/>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Average time (e.g. in hours) between the occurrence of an incident and its resolution</w:t>
      </w:r>
    </w:p>
    <w:p w:rsidR="00E02657" w:rsidRDefault="00E02657" w:rsidP="00E02657">
      <w:pPr>
        <w:pStyle w:val="NormalWeb"/>
        <w:shd w:val="clear" w:color="auto" w:fill="FFFFFF"/>
        <w:spacing w:before="75" w:beforeAutospacing="0" w:after="300" w:afterAutospacing="0"/>
        <w:rPr>
          <w:rFonts w:ascii="Arial" w:hAnsi="Arial" w:cs="Arial"/>
          <w:color w:val="404040"/>
          <w:shd w:val="clear" w:color="auto" w:fill="FFFFFF"/>
        </w:rPr>
      </w:pPr>
    </w:p>
    <w:p w:rsidR="00E02657" w:rsidRDefault="00E02657" w:rsidP="00E02657">
      <w:pPr>
        <w:pStyle w:val="Heading3"/>
        <w:shd w:val="clear" w:color="auto" w:fill="FFFFFF"/>
        <w:spacing w:before="75" w:after="300"/>
        <w:rPr>
          <w:rFonts w:ascii="Arial" w:hAnsi="Arial" w:cs="Arial"/>
          <w:color w:val="404040"/>
          <w:sz w:val="31"/>
          <w:szCs w:val="31"/>
        </w:rPr>
      </w:pPr>
      <w:r>
        <w:rPr>
          <w:rFonts w:ascii="Arial" w:hAnsi="Arial" w:cs="Arial"/>
          <w:color w:val="404040"/>
          <w:sz w:val="31"/>
          <w:szCs w:val="31"/>
        </w:rPr>
        <w:t>Service Quality – Key Performance Indicators</w:t>
      </w:r>
    </w:p>
    <w:p w:rsidR="00E02657" w:rsidRDefault="00E02657" w:rsidP="00E02657">
      <w:pPr>
        <w:pStyle w:val="NormalWeb"/>
        <w:shd w:val="clear" w:color="auto" w:fill="FFFFFF"/>
        <w:spacing w:before="75" w:beforeAutospacing="0" w:after="300" w:afterAutospacing="0"/>
        <w:rPr>
          <w:rFonts w:ascii="Arial" w:hAnsi="Arial" w:cs="Arial"/>
          <w:color w:val="404040"/>
        </w:rPr>
      </w:pPr>
      <w:r>
        <w:rPr>
          <w:rFonts w:ascii="Arial" w:hAnsi="Arial" w:cs="Arial"/>
          <w:color w:val="404040"/>
        </w:rPr>
        <w:t>The following are KPI reporting examples for gauging Service Quality performance:</w:t>
      </w:r>
    </w:p>
    <w:p w:rsidR="00E02657" w:rsidRDefault="00E02657" w:rsidP="00E02657">
      <w:pPr>
        <w:numPr>
          <w:ilvl w:val="0"/>
          <w:numId w:val="4"/>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Cycle</w:t>
      </w:r>
      <w:r>
        <w:rPr>
          <w:rFonts w:ascii="Arial" w:hAnsi="Arial" w:cs="Arial"/>
          <w:color w:val="404040"/>
        </w:rPr>
        <w:t> </w:t>
      </w:r>
      <w:r>
        <w:rPr>
          <w:rStyle w:val="Strong"/>
          <w:rFonts w:ascii="Arial" w:hAnsi="Arial" w:cs="Arial"/>
          <w:color w:val="404040"/>
        </w:rPr>
        <w:t>time</w:t>
      </w:r>
      <w:r>
        <w:rPr>
          <w:rFonts w:ascii="Arial" w:hAnsi="Arial" w:cs="Arial"/>
          <w:color w:val="404040"/>
        </w:rPr>
        <w:t> from request to delivery</w:t>
      </w:r>
    </w:p>
    <w:p w:rsidR="00E02657" w:rsidRDefault="00E02657" w:rsidP="00E02657">
      <w:pPr>
        <w:numPr>
          <w:ilvl w:val="0"/>
          <w:numId w:val="4"/>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Call length</w:t>
      </w:r>
      <w:r>
        <w:rPr>
          <w:rFonts w:ascii="Arial" w:hAnsi="Arial" w:cs="Arial"/>
          <w:color w:val="404040"/>
        </w:rPr>
        <w:t> – the time to answer a call</w:t>
      </w:r>
    </w:p>
    <w:p w:rsidR="00E02657" w:rsidRDefault="00E02657" w:rsidP="00E02657">
      <w:pPr>
        <w:numPr>
          <w:ilvl w:val="0"/>
          <w:numId w:val="4"/>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Volume of calls handled </w:t>
      </w:r>
      <w:r>
        <w:rPr>
          <w:rFonts w:ascii="Arial" w:hAnsi="Arial" w:cs="Arial"/>
          <w:color w:val="404040"/>
        </w:rPr>
        <w:t>– per call centre staff</w:t>
      </w:r>
    </w:p>
    <w:p w:rsidR="00E02657" w:rsidRDefault="00E02657" w:rsidP="00E02657">
      <w:pPr>
        <w:numPr>
          <w:ilvl w:val="0"/>
          <w:numId w:val="4"/>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Number of escalations</w:t>
      </w:r>
      <w:r>
        <w:rPr>
          <w:rFonts w:ascii="Arial" w:hAnsi="Arial" w:cs="Arial"/>
          <w:color w:val="404040"/>
        </w:rPr>
        <w:t> how many bad</w:t>
      </w:r>
    </w:p>
    <w:p w:rsidR="00E02657" w:rsidRDefault="00E02657" w:rsidP="00E02657">
      <w:pPr>
        <w:numPr>
          <w:ilvl w:val="0"/>
          <w:numId w:val="4"/>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Number of reminders</w:t>
      </w:r>
      <w:r>
        <w:rPr>
          <w:rFonts w:ascii="Arial" w:hAnsi="Arial" w:cs="Arial"/>
          <w:color w:val="404040"/>
        </w:rPr>
        <w:t> – how many at risk</w:t>
      </w:r>
    </w:p>
    <w:p w:rsidR="00E02657" w:rsidRDefault="00E02657" w:rsidP="00E02657">
      <w:pPr>
        <w:pStyle w:val="Heading3"/>
        <w:shd w:val="clear" w:color="auto" w:fill="FFFFFF"/>
        <w:spacing w:before="75" w:after="300"/>
        <w:rPr>
          <w:rFonts w:ascii="Arial" w:hAnsi="Arial" w:cs="Arial"/>
          <w:color w:val="404040"/>
          <w:sz w:val="31"/>
          <w:szCs w:val="31"/>
        </w:rPr>
      </w:pPr>
      <w:r>
        <w:rPr>
          <w:rFonts w:ascii="Arial" w:hAnsi="Arial" w:cs="Arial"/>
          <w:color w:val="404040"/>
          <w:sz w:val="31"/>
          <w:szCs w:val="31"/>
        </w:rPr>
        <w:t>Efficiency – Key Performance Indicators</w:t>
      </w:r>
    </w:p>
    <w:p w:rsidR="00E02657" w:rsidRDefault="00E02657" w:rsidP="00E02657">
      <w:pPr>
        <w:pStyle w:val="NormalWeb"/>
        <w:shd w:val="clear" w:color="auto" w:fill="FFFFFF"/>
        <w:spacing w:before="75" w:beforeAutospacing="0" w:after="300" w:afterAutospacing="0"/>
        <w:rPr>
          <w:rFonts w:ascii="Arial" w:hAnsi="Arial" w:cs="Arial"/>
          <w:color w:val="404040"/>
        </w:rPr>
      </w:pPr>
      <w:r>
        <w:rPr>
          <w:rFonts w:ascii="Arial" w:hAnsi="Arial" w:cs="Arial"/>
          <w:color w:val="404040"/>
        </w:rPr>
        <w:t>The following are KPI reporting examples indicating Efficiency performance:</w:t>
      </w:r>
    </w:p>
    <w:p w:rsidR="00E02657" w:rsidRDefault="00E02657" w:rsidP="00E02657">
      <w:pPr>
        <w:numPr>
          <w:ilvl w:val="0"/>
          <w:numId w:val="5"/>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Cycle time from request to delivery</w:t>
      </w:r>
    </w:p>
    <w:p w:rsidR="00E02657" w:rsidRDefault="00E02657" w:rsidP="00E02657">
      <w:pPr>
        <w:numPr>
          <w:ilvl w:val="0"/>
          <w:numId w:val="5"/>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Average cycle time from request to delivery</w:t>
      </w:r>
    </w:p>
    <w:p w:rsidR="00E02657" w:rsidRDefault="00E02657" w:rsidP="00E02657">
      <w:pPr>
        <w:numPr>
          <w:ilvl w:val="0"/>
          <w:numId w:val="5"/>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Call length</w:t>
      </w:r>
    </w:p>
    <w:p w:rsidR="00E02657" w:rsidRDefault="00E02657" w:rsidP="00E02657">
      <w:pPr>
        <w:numPr>
          <w:ilvl w:val="0"/>
          <w:numId w:val="5"/>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Volume of tasks per staff</w:t>
      </w:r>
    </w:p>
    <w:p w:rsidR="00E02657" w:rsidRDefault="00E02657" w:rsidP="00E02657">
      <w:pPr>
        <w:numPr>
          <w:ilvl w:val="0"/>
          <w:numId w:val="5"/>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Number of staff involved</w:t>
      </w:r>
    </w:p>
    <w:p w:rsidR="00E02657" w:rsidRDefault="00E02657" w:rsidP="00E02657">
      <w:pPr>
        <w:numPr>
          <w:ilvl w:val="0"/>
          <w:numId w:val="5"/>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Number of reminders</w:t>
      </w:r>
    </w:p>
    <w:p w:rsidR="00E02657" w:rsidRDefault="00E02657" w:rsidP="00E02657">
      <w:pPr>
        <w:pStyle w:val="Heading3"/>
        <w:shd w:val="clear" w:color="auto" w:fill="FFFFFF"/>
        <w:spacing w:before="75" w:after="300"/>
        <w:rPr>
          <w:rFonts w:ascii="Arial" w:hAnsi="Arial" w:cs="Arial"/>
          <w:color w:val="404040"/>
          <w:sz w:val="31"/>
          <w:szCs w:val="31"/>
        </w:rPr>
      </w:pPr>
      <w:r>
        <w:rPr>
          <w:rFonts w:ascii="Arial" w:hAnsi="Arial" w:cs="Arial"/>
          <w:color w:val="404040"/>
          <w:sz w:val="31"/>
          <w:szCs w:val="31"/>
        </w:rPr>
        <w:t>Compliance – Key Performance Indicators</w:t>
      </w:r>
    </w:p>
    <w:p w:rsidR="00E02657" w:rsidRDefault="00E02657" w:rsidP="00E02657">
      <w:pPr>
        <w:pStyle w:val="NormalWeb"/>
        <w:shd w:val="clear" w:color="auto" w:fill="FFFFFF"/>
        <w:spacing w:before="75" w:beforeAutospacing="0" w:after="300" w:afterAutospacing="0"/>
        <w:rPr>
          <w:rFonts w:ascii="Arial" w:hAnsi="Arial" w:cs="Arial"/>
          <w:color w:val="404040"/>
        </w:rPr>
      </w:pPr>
      <w:r>
        <w:rPr>
          <w:rFonts w:ascii="Arial" w:hAnsi="Arial" w:cs="Arial"/>
          <w:color w:val="404040"/>
        </w:rPr>
        <w:t>The following are KPI examples for Compliance performance:</w:t>
      </w:r>
    </w:p>
    <w:p w:rsidR="00E02657" w:rsidRDefault="00E02657" w:rsidP="00E02657">
      <w:pPr>
        <w:numPr>
          <w:ilvl w:val="0"/>
          <w:numId w:val="6"/>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Average time lag between identification of external compliance issues and resolution</w:t>
      </w:r>
    </w:p>
    <w:p w:rsidR="00E02657" w:rsidRDefault="00E02657" w:rsidP="00E02657">
      <w:pPr>
        <w:numPr>
          <w:ilvl w:val="0"/>
          <w:numId w:val="6"/>
        </w:numPr>
        <w:shd w:val="clear" w:color="auto" w:fill="FFFFFF"/>
        <w:spacing w:before="100" w:beforeAutospacing="1" w:after="100" w:afterAutospacing="1" w:line="240" w:lineRule="auto"/>
        <w:ind w:left="0"/>
        <w:rPr>
          <w:rFonts w:ascii="Arial" w:hAnsi="Arial" w:cs="Arial"/>
          <w:color w:val="404040"/>
        </w:rPr>
      </w:pPr>
      <w:r>
        <w:rPr>
          <w:rStyle w:val="Strong"/>
          <w:rFonts w:ascii="Arial" w:hAnsi="Arial" w:cs="Arial"/>
          <w:color w:val="404040"/>
        </w:rPr>
        <w:t>Frequency (in days) of compliance reviews</w:t>
      </w:r>
    </w:p>
    <w:p w:rsidR="00E02657" w:rsidRDefault="00E02657" w:rsidP="00E02657">
      <w:pPr>
        <w:pStyle w:val="Heading3"/>
        <w:shd w:val="clear" w:color="auto" w:fill="FFFFFF"/>
        <w:spacing w:before="75" w:after="300"/>
        <w:rPr>
          <w:rFonts w:ascii="Arial" w:hAnsi="Arial" w:cs="Arial"/>
          <w:color w:val="404040"/>
          <w:sz w:val="31"/>
          <w:szCs w:val="31"/>
        </w:rPr>
      </w:pPr>
      <w:r>
        <w:rPr>
          <w:rFonts w:ascii="Arial" w:hAnsi="Arial" w:cs="Arial"/>
          <w:color w:val="404040"/>
          <w:sz w:val="31"/>
          <w:szCs w:val="31"/>
        </w:rPr>
        <w:lastRenderedPageBreak/>
        <w:t>Budget – Key Performance Indicators</w:t>
      </w:r>
    </w:p>
    <w:p w:rsidR="00E02657" w:rsidRDefault="00E02657" w:rsidP="00E02657">
      <w:pPr>
        <w:numPr>
          <w:ilvl w:val="0"/>
          <w:numId w:val="7"/>
        </w:numPr>
        <w:shd w:val="clear" w:color="auto" w:fill="FFFFFF"/>
        <w:spacing w:before="100" w:beforeAutospacing="1" w:after="100" w:afterAutospacing="1" w:line="240" w:lineRule="auto"/>
        <w:ind w:left="0"/>
        <w:rPr>
          <w:rFonts w:ascii="Arial" w:hAnsi="Arial" w:cs="Arial"/>
          <w:color w:val="404040"/>
          <w:sz w:val="24"/>
          <w:szCs w:val="24"/>
        </w:rPr>
      </w:pPr>
      <w:r>
        <w:rPr>
          <w:rStyle w:val="Strong"/>
          <w:rFonts w:ascii="Arial" w:hAnsi="Arial" w:cs="Arial"/>
          <w:color w:val="404040"/>
        </w:rPr>
        <w:t>Sum of deviation in money of planned budget of projects</w:t>
      </w:r>
    </w:p>
    <w:p w:rsidR="00E02657" w:rsidRDefault="00E02657" w:rsidP="00E02657">
      <w:pPr>
        <w:pStyle w:val="Heading3"/>
        <w:shd w:val="clear" w:color="auto" w:fill="FFFFFF"/>
        <w:spacing w:before="75" w:after="300"/>
        <w:rPr>
          <w:rFonts w:ascii="Arial" w:hAnsi="Arial" w:cs="Arial"/>
          <w:color w:val="404040"/>
          <w:sz w:val="31"/>
          <w:szCs w:val="31"/>
        </w:rPr>
      </w:pPr>
      <w:r>
        <w:rPr>
          <w:rFonts w:ascii="Arial" w:hAnsi="Arial" w:cs="Arial"/>
          <w:color w:val="404040"/>
          <w:sz w:val="31"/>
          <w:szCs w:val="31"/>
        </w:rPr>
        <w:t>Index used in Key Performance Indicators</w:t>
      </w:r>
    </w:p>
    <w:p w:rsidR="00E02657" w:rsidRDefault="00E02657" w:rsidP="00E02657">
      <w:pPr>
        <w:pStyle w:val="NormalWeb"/>
        <w:shd w:val="clear" w:color="auto" w:fill="FFFFFF"/>
        <w:spacing w:before="75" w:beforeAutospacing="0" w:after="300" w:afterAutospacing="0"/>
        <w:rPr>
          <w:rFonts w:ascii="Arial" w:hAnsi="Arial" w:cs="Arial"/>
          <w:color w:val="404040"/>
        </w:rPr>
      </w:pPr>
      <w:r>
        <w:rPr>
          <w:rFonts w:ascii="Arial" w:hAnsi="Arial" w:cs="Arial"/>
          <w:color w:val="404040"/>
        </w:rPr>
        <w:t>The following indices are used in KPI as indicators:</w:t>
      </w:r>
    </w:p>
    <w:p w:rsidR="00E02657" w:rsidRDefault="00E02657" w:rsidP="00E02657">
      <w:pPr>
        <w:pStyle w:val="NormalWeb"/>
        <w:shd w:val="clear" w:color="auto" w:fill="FFFFFF"/>
        <w:spacing w:before="75" w:beforeAutospacing="0" w:after="300" w:afterAutospacing="0"/>
        <w:rPr>
          <w:rFonts w:ascii="Arial" w:hAnsi="Arial" w:cs="Arial"/>
          <w:color w:val="404040"/>
        </w:rPr>
      </w:pPr>
      <w:r>
        <w:rPr>
          <w:rStyle w:val="Strong"/>
          <w:rFonts w:ascii="Arial" w:hAnsi="Arial" w:cs="Arial"/>
          <w:color w:val="404040"/>
        </w:rPr>
        <w:t>Tolerating</w:t>
      </w:r>
      <w:r>
        <w:rPr>
          <w:rFonts w:ascii="Arial" w:hAnsi="Arial" w:cs="Arial"/>
          <w:color w:val="404040"/>
        </w:rPr>
        <w:t>: The user notices performance lagging within responses greater than T, but continues the process.</w:t>
      </w:r>
      <w:r>
        <w:rPr>
          <w:rFonts w:ascii="Arial" w:hAnsi="Arial" w:cs="Arial"/>
          <w:color w:val="404040"/>
        </w:rPr>
        <w:br/>
      </w:r>
      <w:r>
        <w:rPr>
          <w:rStyle w:val="Strong"/>
          <w:rFonts w:ascii="Arial" w:hAnsi="Arial" w:cs="Arial"/>
          <w:color w:val="404040"/>
        </w:rPr>
        <w:t>Frustrated</w:t>
      </w:r>
      <w:r>
        <w:rPr>
          <w:rFonts w:ascii="Arial" w:hAnsi="Arial" w:cs="Arial"/>
          <w:color w:val="404040"/>
        </w:rPr>
        <w:t>: Performance with a response time greater than F seconds is unacceptable, and users may abandon the process.</w:t>
      </w:r>
      <w:r>
        <w:rPr>
          <w:rFonts w:ascii="Arial" w:hAnsi="Arial" w:cs="Arial"/>
          <w:color w:val="404040"/>
        </w:rPr>
        <w:br/>
      </w:r>
      <w:r>
        <w:rPr>
          <w:rStyle w:val="Strong"/>
          <w:rFonts w:ascii="Arial" w:hAnsi="Arial" w:cs="Arial"/>
          <w:color w:val="404040"/>
        </w:rPr>
        <w:t>Satisfied</w:t>
      </w:r>
      <w:r>
        <w:rPr>
          <w:rFonts w:ascii="Arial" w:hAnsi="Arial" w:cs="Arial"/>
          <w:color w:val="404040"/>
        </w:rPr>
        <w:t>: The user is fully productive. This represents the time value (T seconds) below which users are not impeded by application response time.</w:t>
      </w:r>
    </w:p>
    <w:p w:rsidR="00E02657" w:rsidRDefault="00E02657" w:rsidP="00E02657">
      <w:pPr>
        <w:pStyle w:val="NormalWeb"/>
        <w:shd w:val="clear" w:color="auto" w:fill="FFFFFF"/>
        <w:spacing w:before="75" w:beforeAutospacing="0" w:after="300" w:afterAutospacing="0"/>
      </w:pPr>
      <w:hyperlink r:id="rId6" w:history="1">
        <w:r>
          <w:rPr>
            <w:rStyle w:val="Hyperlink"/>
          </w:rPr>
          <w:t>http://www.pnmsoft.com/resources/bpm-tutorial/key-performance-indicators/</w:t>
        </w:r>
      </w:hyperlink>
    </w:p>
    <w:p w:rsidR="00E02657" w:rsidRDefault="00E02657" w:rsidP="00E02657">
      <w:pPr>
        <w:pStyle w:val="NormalWeb"/>
        <w:shd w:val="clear" w:color="auto" w:fill="FFFFFF"/>
        <w:spacing w:before="75" w:beforeAutospacing="0" w:after="300" w:afterAutospacing="0"/>
      </w:pPr>
      <w:hyperlink r:id="rId7" w:history="1">
        <w:r>
          <w:rPr>
            <w:rStyle w:val="Hyperlink"/>
          </w:rPr>
          <w:t>https://www.klipfolio.com/resources/articles/what-is-a-key-performance-indicator</w:t>
        </w:r>
      </w:hyperlink>
    </w:p>
    <w:p w:rsidR="00E02657" w:rsidRDefault="00E02657" w:rsidP="00E02657">
      <w:pPr>
        <w:pStyle w:val="NormalWeb"/>
        <w:shd w:val="clear" w:color="auto" w:fill="FFFFFF"/>
        <w:spacing w:before="75" w:beforeAutospacing="0" w:after="300" w:afterAutospacing="0"/>
      </w:pPr>
      <w:hyperlink r:id="rId8" w:history="1">
        <w:r>
          <w:rPr>
            <w:rStyle w:val="Hyperlink"/>
          </w:rPr>
          <w:t>https://www.optimizesmart.com/understanding-key-performance-indicators-kpis-just-like-that/</w:t>
        </w:r>
      </w:hyperlink>
    </w:p>
    <w:p w:rsidR="00E02657" w:rsidRDefault="00E02657" w:rsidP="00E02657">
      <w:pPr>
        <w:pStyle w:val="NormalWeb"/>
        <w:shd w:val="clear" w:color="auto" w:fill="FFFFFF"/>
        <w:spacing w:before="75" w:beforeAutospacing="0" w:after="300" w:afterAutospacing="0"/>
      </w:pPr>
    </w:p>
    <w:p w:rsidR="00E02657" w:rsidRDefault="00E02657" w:rsidP="00E02657">
      <w:pPr>
        <w:pStyle w:val="NormalWeb"/>
        <w:shd w:val="clear" w:color="auto" w:fill="FFFFFF"/>
        <w:spacing w:before="75" w:beforeAutospacing="0" w:after="300" w:afterAutospacing="0"/>
      </w:pPr>
      <w:hyperlink r:id="rId9" w:history="1">
        <w:r>
          <w:rPr>
            <w:rStyle w:val="Hyperlink"/>
          </w:rPr>
          <w:t>https://culytics.com/blogs/top-kpis-for-online-banking</w:t>
        </w:r>
      </w:hyperlink>
    </w:p>
    <w:p w:rsidR="00E02657" w:rsidRDefault="00E02657" w:rsidP="00E02657">
      <w:pPr>
        <w:pStyle w:val="NormalWeb"/>
        <w:shd w:val="clear" w:color="auto" w:fill="FFFFFF"/>
        <w:spacing w:before="75" w:beforeAutospacing="0" w:after="300" w:afterAutospacing="0"/>
      </w:pPr>
    </w:p>
    <w:p w:rsidR="00E02657" w:rsidRDefault="00E02657" w:rsidP="00E02657">
      <w:pPr>
        <w:pStyle w:val="Heading3"/>
        <w:shd w:val="clear" w:color="auto" w:fill="FFFFFF"/>
        <w:spacing w:before="0" w:line="312" w:lineRule="atLeast"/>
        <w:textAlignment w:val="baseline"/>
        <w:rPr>
          <w:rFonts w:ascii="Arial" w:hAnsi="Arial" w:cs="Arial"/>
          <w:color w:val="575757"/>
        </w:rPr>
      </w:pPr>
      <w:hyperlink r:id="rId10" w:history="1">
        <w:r>
          <w:rPr>
            <w:rStyle w:val="Hyperlink"/>
          </w:rPr>
          <w:t>https://culytics.com/blogs/kpis-for-finance</w:t>
        </w:r>
      </w:hyperlink>
    </w:p>
    <w:p w:rsidR="00E02657" w:rsidRDefault="00E02657" w:rsidP="00E02657">
      <w:pPr>
        <w:pStyle w:val="Heading3"/>
        <w:shd w:val="clear" w:color="auto" w:fill="FFFFFF"/>
        <w:spacing w:before="0" w:line="312" w:lineRule="atLeast"/>
        <w:textAlignment w:val="baseline"/>
        <w:rPr>
          <w:rFonts w:ascii="Arial" w:hAnsi="Arial" w:cs="Arial"/>
          <w:color w:val="575757"/>
        </w:rPr>
      </w:pPr>
      <w:hyperlink r:id="rId11" w:history="1">
        <w:r>
          <w:rPr>
            <w:rStyle w:val="Hyperlink"/>
            <w:rFonts w:ascii="Arial" w:hAnsi="Arial" w:cs="Arial"/>
            <w:b/>
            <w:bCs/>
            <w:color w:val="3E3D3F"/>
            <w:sz w:val="38"/>
            <w:szCs w:val="38"/>
            <w:bdr w:val="none" w:sz="0" w:space="0" w:color="auto" w:frame="1"/>
          </w:rPr>
          <w:t>Top KPIs for Finance</w:t>
        </w:r>
      </w:hyperlink>
    </w:p>
    <w:p w:rsidR="00E02657" w:rsidRPr="00E02657" w:rsidRDefault="00E02657" w:rsidP="00E02657">
      <w:pPr>
        <w:shd w:val="clear" w:color="auto" w:fill="FFFFFF"/>
        <w:spacing w:after="0" w:line="312" w:lineRule="atLeast"/>
        <w:textAlignment w:val="baseline"/>
        <w:rPr>
          <w:rFonts w:ascii="Arial" w:eastAsia="Times New Roman" w:hAnsi="Arial" w:cs="Arial"/>
          <w:color w:val="575757"/>
          <w:sz w:val="21"/>
          <w:szCs w:val="21"/>
          <w:lang w:eastAsia="en-GB"/>
        </w:rPr>
      </w:pPr>
      <w:r w:rsidRPr="00E02657">
        <w:rPr>
          <w:rFonts w:ascii="Arial" w:eastAsia="Times New Roman" w:hAnsi="Arial" w:cs="Arial"/>
          <w:color w:val="575757"/>
          <w:sz w:val="21"/>
          <w:szCs w:val="21"/>
          <w:lang w:eastAsia="en-GB"/>
        </w:rPr>
        <w:t> </w:t>
      </w:r>
      <w:r w:rsidRPr="00E02657">
        <w:rPr>
          <w:rFonts w:ascii="inherit" w:eastAsia="Times New Roman" w:hAnsi="inherit" w:cs="Arial"/>
          <w:color w:val="575757"/>
          <w:sz w:val="21"/>
          <w:szCs w:val="21"/>
          <w:bdr w:val="none" w:sz="0" w:space="0" w:color="auto" w:frame="1"/>
          <w:lang w:eastAsia="en-GB"/>
        </w:rPr>
        <w:t>KPIs or key performance indicators are often quantifiable in the field of finance. They help a financial institution to design its strategic roadmap and push the company towards a direction it would like to move towards through giving it goals which can be achieved with the present resources- while at the same time planning towards acquiring the resources the company would like to utilize and invest in. According to CFO Key Performance Indicators (KPI) survey, done by PWC</w:t>
      </w:r>
    </w:p>
    <w:p w:rsidR="00E02657" w:rsidRPr="00E02657" w:rsidRDefault="00E02657" w:rsidP="00E02657">
      <w:pPr>
        <w:shd w:val="clear" w:color="auto" w:fill="FFFFFF"/>
        <w:spacing w:after="0" w:line="312" w:lineRule="atLeast"/>
        <w:jc w:val="center"/>
        <w:textAlignment w:val="baseline"/>
        <w:rPr>
          <w:rFonts w:ascii="Arial" w:eastAsia="Times New Roman" w:hAnsi="Arial" w:cs="Arial"/>
          <w:color w:val="575757"/>
          <w:sz w:val="21"/>
          <w:szCs w:val="21"/>
          <w:lang w:eastAsia="en-GB"/>
        </w:rPr>
      </w:pPr>
      <w:r w:rsidRPr="00E02657">
        <w:rPr>
          <w:rFonts w:ascii="Arial" w:eastAsia="Times New Roman" w:hAnsi="Arial" w:cs="Arial"/>
          <w:color w:val="575757"/>
          <w:sz w:val="21"/>
          <w:szCs w:val="21"/>
          <w:lang w:eastAsia="en-GB"/>
        </w:rPr>
        <w:t>“</w:t>
      </w:r>
      <w:r w:rsidRPr="00E02657">
        <w:rPr>
          <w:rFonts w:ascii="inherit" w:eastAsia="Times New Roman" w:hAnsi="inherit" w:cs="Arial"/>
          <w:b/>
          <w:bCs/>
          <w:color w:val="575757"/>
          <w:sz w:val="21"/>
          <w:szCs w:val="21"/>
          <w:bdr w:val="none" w:sz="0" w:space="0" w:color="auto" w:frame="1"/>
          <w:lang w:eastAsia="en-GB"/>
        </w:rPr>
        <w:t>28% of the companies which responded, track more than 20 or fewer than 5 KPIs.</w:t>
      </w:r>
      <w:r w:rsidRPr="00E02657">
        <w:rPr>
          <w:rFonts w:ascii="inherit" w:eastAsia="Times New Roman" w:hAnsi="inherit" w:cs="Arial"/>
          <w:b/>
          <w:bCs/>
          <w:color w:val="575757"/>
          <w:sz w:val="21"/>
          <w:szCs w:val="21"/>
          <w:bdr w:val="none" w:sz="0" w:space="0" w:color="auto" w:frame="1"/>
          <w:lang w:eastAsia="en-GB"/>
        </w:rPr>
        <w:br/>
        <w:t>Less than half of the respondents believed that KPIs help in monitoring the long-term</w:t>
      </w:r>
      <w:r w:rsidRPr="00E02657">
        <w:rPr>
          <w:rFonts w:ascii="inherit" w:eastAsia="Times New Roman" w:hAnsi="inherit" w:cs="Arial"/>
          <w:b/>
          <w:bCs/>
          <w:color w:val="575757"/>
          <w:sz w:val="21"/>
          <w:szCs w:val="21"/>
          <w:bdr w:val="none" w:sz="0" w:space="0" w:color="auto" w:frame="1"/>
          <w:lang w:eastAsia="en-GB"/>
        </w:rPr>
        <w:br/>
        <w:t>strategic goal of the company.</w:t>
      </w:r>
      <w:r w:rsidRPr="00E02657">
        <w:rPr>
          <w:rFonts w:ascii="inherit" w:eastAsia="Times New Roman" w:hAnsi="inherit" w:cs="Arial"/>
          <w:b/>
          <w:bCs/>
          <w:color w:val="575757"/>
          <w:sz w:val="21"/>
          <w:szCs w:val="21"/>
          <w:bdr w:val="none" w:sz="0" w:space="0" w:color="auto" w:frame="1"/>
          <w:lang w:eastAsia="en-GB"/>
        </w:rPr>
        <w:br/>
        <w:t>More than 1/3rd of the respondents reviewed their KPIs quarterly or more frequently.”</w:t>
      </w:r>
    </w:p>
    <w:p w:rsidR="00E02657" w:rsidRDefault="00E02657" w:rsidP="00E02657">
      <w:pPr>
        <w:pStyle w:val="NormalWeb"/>
        <w:shd w:val="clear" w:color="auto" w:fill="FFFFFF"/>
        <w:spacing w:before="75" w:beforeAutospacing="0" w:after="300" w:afterAutospacing="0"/>
      </w:pPr>
    </w:p>
    <w:p w:rsidR="00E02657" w:rsidRDefault="00E02657" w:rsidP="00E02657">
      <w:pPr>
        <w:pStyle w:val="NormalWeb"/>
        <w:shd w:val="clear" w:color="auto" w:fill="FFFFFF"/>
        <w:spacing w:before="75" w:beforeAutospacing="0" w:after="300" w:afterAutospacing="0"/>
      </w:pPr>
      <w:hyperlink r:id="rId12" w:history="1">
        <w:r>
          <w:rPr>
            <w:rStyle w:val="Hyperlink"/>
          </w:rPr>
          <w:t>https://opsdog.com/categories/kpis-and-metrics/banking</w:t>
        </w:r>
      </w:hyperlink>
    </w:p>
    <w:p w:rsidR="00E02657" w:rsidRDefault="00E02657" w:rsidP="00E02657">
      <w:pPr>
        <w:pStyle w:val="NormalWeb"/>
        <w:shd w:val="clear" w:color="auto" w:fill="FFFFFF"/>
        <w:spacing w:before="75" w:beforeAutospacing="0" w:after="300" w:afterAutospacing="0"/>
      </w:pPr>
      <w:hyperlink r:id="rId13" w:history="1">
        <w:r>
          <w:rPr>
            <w:rStyle w:val="Hyperlink"/>
          </w:rPr>
          <w:t>https://www.pwc.com/gx/en/banking-capital-markets/transaction-banking-compass/assets/pwc-transaction-banking-compass-nov-2012.pdf</w:t>
        </w:r>
      </w:hyperlink>
    </w:p>
    <w:p w:rsidR="00E02657" w:rsidRDefault="00E02657" w:rsidP="00E02657">
      <w:pPr>
        <w:pStyle w:val="NormalWeb"/>
        <w:shd w:val="clear" w:color="auto" w:fill="FFFFFF"/>
        <w:spacing w:before="75" w:beforeAutospacing="0" w:after="300" w:afterAutospacing="0"/>
      </w:pPr>
      <w:r w:rsidRPr="00E02657">
        <w:lastRenderedPageBreak/>
        <w:t>bakertilly.com/insights/banking-industry-benchmarks-</w:t>
      </w:r>
      <w:proofErr w:type="spellStart"/>
      <w:r w:rsidRPr="00E02657">
        <w:t>kpi</w:t>
      </w:r>
      <w:proofErr w:type="spellEnd"/>
      <w:r w:rsidRPr="00E02657">
        <w:t>-report/</w:t>
      </w:r>
    </w:p>
    <w:p w:rsidR="00E02657" w:rsidRDefault="00E02657" w:rsidP="00E02657">
      <w:pPr>
        <w:pStyle w:val="NormalWeb"/>
        <w:shd w:val="clear" w:color="auto" w:fill="FFFFFF"/>
        <w:spacing w:before="75" w:beforeAutospacing="0" w:after="300" w:afterAutospacing="0"/>
      </w:pPr>
      <w:proofErr w:type="spellStart"/>
      <w:r>
        <w:t>SAMPle</w:t>
      </w:r>
      <w:proofErr w:type="spellEnd"/>
      <w:r>
        <w:t xml:space="preserve"> Query format:</w:t>
      </w:r>
    </w:p>
    <w:p w:rsidR="00E02657" w:rsidRDefault="00E02657" w:rsidP="00E02657">
      <w:pPr>
        <w:pStyle w:val="NormalWeb"/>
        <w:shd w:val="clear" w:color="auto" w:fill="FFFFFF"/>
        <w:spacing w:before="75" w:beforeAutospacing="0" w:after="300" w:afterAutospacing="0"/>
      </w:pPr>
      <w:r>
        <w:t xml:space="preserve">SELECT </w:t>
      </w:r>
    </w:p>
    <w:p w:rsidR="00E02657" w:rsidRDefault="00E02657" w:rsidP="00E02657">
      <w:pPr>
        <w:pStyle w:val="NormalWeb"/>
        <w:shd w:val="clear" w:color="auto" w:fill="FFFFFF"/>
        <w:spacing w:before="75" w:beforeAutospacing="0" w:after="300" w:afterAutospacing="0"/>
      </w:pPr>
      <w:r>
        <w:t>Coloumn1 as ‘Price;</w:t>
      </w:r>
      <w:bookmarkStart w:id="0" w:name="_GoBack"/>
      <w:bookmarkEnd w:id="0"/>
    </w:p>
    <w:p w:rsidR="00E02657" w:rsidRDefault="00E02657" w:rsidP="00E02657">
      <w:pPr>
        <w:pStyle w:val="NormalWeb"/>
        <w:shd w:val="clear" w:color="auto" w:fill="FFFFFF"/>
        <w:spacing w:before="75" w:beforeAutospacing="0" w:after="300" w:afterAutospacing="0"/>
      </w:pPr>
      <w:r>
        <w:t>Column 2 as “</w:t>
      </w:r>
      <w:proofErr w:type="spellStart"/>
      <w:r>
        <w:t>Qty</w:t>
      </w:r>
      <w:proofErr w:type="spellEnd"/>
      <w:r>
        <w:t>’,</w:t>
      </w:r>
    </w:p>
    <w:p w:rsidR="00E02657" w:rsidRDefault="00AE7420" w:rsidP="00E02657">
      <w:pPr>
        <w:pStyle w:val="NormalWeb"/>
        <w:shd w:val="clear" w:color="auto" w:fill="FFFFFF"/>
        <w:spacing w:before="75" w:beforeAutospacing="0" w:after="300" w:afterAutospacing="0"/>
      </w:pPr>
      <w:proofErr w:type="gramStart"/>
      <w:r>
        <w:rPr>
          <w:rFonts w:ascii="Arial" w:hAnsi="Arial" w:cs="Arial"/>
          <w:b/>
          <w:bCs/>
          <w:color w:val="000000"/>
          <w:sz w:val="20"/>
          <w:szCs w:val="20"/>
          <w:bdr w:val="none" w:sz="0" w:space="0" w:color="auto" w:frame="1"/>
          <w:shd w:val="clear" w:color="auto" w:fill="F8F8F8"/>
        </w:rPr>
        <w:t>CONVERT(</w:t>
      </w:r>
      <w:proofErr w:type="gramEnd"/>
      <w:r>
        <w:rPr>
          <w:rFonts w:ascii="Arial" w:hAnsi="Arial" w:cs="Arial"/>
          <w:b/>
          <w:bCs/>
          <w:color w:val="000000"/>
          <w:sz w:val="20"/>
          <w:szCs w:val="20"/>
          <w:bdr w:val="none" w:sz="0" w:space="0" w:color="auto" w:frame="1"/>
          <w:shd w:val="clear" w:color="auto" w:fill="F8F8F8"/>
        </w:rPr>
        <w:t>varchar,col3</w:t>
      </w:r>
      <w:r>
        <w:rPr>
          <w:rFonts w:ascii="Arial" w:hAnsi="Arial" w:cs="Arial"/>
          <w:b/>
          <w:bCs/>
          <w:color w:val="000000"/>
          <w:sz w:val="20"/>
          <w:szCs w:val="20"/>
          <w:bdr w:val="none" w:sz="0" w:space="0" w:color="auto" w:frame="1"/>
          <w:shd w:val="clear" w:color="auto" w:fill="F8F8F8"/>
        </w:rPr>
        <w:t>,109) </w:t>
      </w:r>
      <w:r w:rsidR="00E02657">
        <w:t>AS MONTH</w:t>
      </w:r>
    </w:p>
    <w:p w:rsidR="00AE7420" w:rsidRDefault="00AE7420" w:rsidP="00E02657">
      <w:pPr>
        <w:pStyle w:val="NormalWeb"/>
        <w:shd w:val="clear" w:color="auto" w:fill="FFFFFF"/>
        <w:spacing w:before="75" w:beforeAutospacing="0" w:after="300" w:afterAutospacing="0"/>
      </w:pPr>
      <w:r>
        <w:t>FROM TABLE</w:t>
      </w:r>
    </w:p>
    <w:p w:rsidR="00AE7420" w:rsidRDefault="00AE7420" w:rsidP="00E02657">
      <w:pPr>
        <w:pStyle w:val="NormalWeb"/>
        <w:shd w:val="clear" w:color="auto" w:fill="FFFFFF"/>
        <w:spacing w:before="75" w:beforeAutospacing="0" w:after="300" w:afterAutospacing="0"/>
      </w:pPr>
      <w:r>
        <w:t xml:space="preserve">GROUP BY </w:t>
      </w:r>
    </w:p>
    <w:p w:rsidR="00AE7420" w:rsidRDefault="00AE7420" w:rsidP="00E02657">
      <w:pPr>
        <w:pStyle w:val="NormalWeb"/>
        <w:shd w:val="clear" w:color="auto" w:fill="FFFFFF"/>
        <w:spacing w:before="75" w:beforeAutospacing="0" w:after="300" w:afterAutospacing="0"/>
      </w:pPr>
      <w:r>
        <w:t>MONTH</w:t>
      </w:r>
    </w:p>
    <w:p w:rsidR="00AE7420" w:rsidRDefault="00AE7420" w:rsidP="00E02657">
      <w:pPr>
        <w:pStyle w:val="NormalWeb"/>
        <w:shd w:val="clear" w:color="auto" w:fill="FFFFFF"/>
        <w:spacing w:before="75" w:beforeAutospacing="0" w:after="300" w:afterAutospacing="0"/>
      </w:pPr>
      <w:r>
        <w:t>HAVING Condition.</w:t>
      </w:r>
    </w:p>
    <w:p w:rsidR="00E02657" w:rsidRDefault="00E02657" w:rsidP="00E02657">
      <w:pPr>
        <w:pStyle w:val="NormalWeb"/>
        <w:shd w:val="clear" w:color="auto" w:fill="FFFFFF"/>
        <w:spacing w:before="75" w:beforeAutospacing="0" w:after="300" w:afterAutospacing="0"/>
      </w:pPr>
    </w:p>
    <w:p w:rsidR="00E02657" w:rsidRDefault="00E02657" w:rsidP="00E02657">
      <w:pPr>
        <w:pStyle w:val="NormalWeb"/>
        <w:shd w:val="clear" w:color="auto" w:fill="FFFFFF"/>
        <w:spacing w:before="75" w:beforeAutospacing="0" w:after="300" w:afterAutospacing="0"/>
        <w:rPr>
          <w:rFonts w:ascii="Arial" w:hAnsi="Arial" w:cs="Arial"/>
          <w:color w:val="404040"/>
          <w:shd w:val="clear" w:color="auto" w:fill="FFFFFF"/>
        </w:rPr>
      </w:pPr>
    </w:p>
    <w:p w:rsidR="00E02657" w:rsidRDefault="00E02657" w:rsidP="00E02657">
      <w:pPr>
        <w:pStyle w:val="NormalWeb"/>
        <w:shd w:val="clear" w:color="auto" w:fill="FFFFFF"/>
        <w:spacing w:before="75" w:beforeAutospacing="0" w:after="300" w:afterAutospacing="0"/>
        <w:rPr>
          <w:rFonts w:ascii="Arial" w:hAnsi="Arial" w:cs="Arial"/>
          <w:color w:val="404040"/>
        </w:rPr>
      </w:pPr>
    </w:p>
    <w:p w:rsidR="00601EFC" w:rsidRDefault="00601EFC"/>
    <w:sectPr w:rsidR="00601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C6F1A"/>
    <w:multiLevelType w:val="multilevel"/>
    <w:tmpl w:val="EBBA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D742F"/>
    <w:multiLevelType w:val="multilevel"/>
    <w:tmpl w:val="FCBE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71B6C"/>
    <w:multiLevelType w:val="multilevel"/>
    <w:tmpl w:val="520C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530B33"/>
    <w:multiLevelType w:val="multilevel"/>
    <w:tmpl w:val="A27A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847137"/>
    <w:multiLevelType w:val="multilevel"/>
    <w:tmpl w:val="5330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583A49"/>
    <w:multiLevelType w:val="multilevel"/>
    <w:tmpl w:val="5E9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E2261B"/>
    <w:multiLevelType w:val="multilevel"/>
    <w:tmpl w:val="2606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57"/>
    <w:rsid w:val="00601EFC"/>
    <w:rsid w:val="00AE7420"/>
    <w:rsid w:val="00E02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36B9D-AAB6-40F8-B801-9FF1DA16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26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026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6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02657"/>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E02657"/>
    <w:rPr>
      <w:b/>
      <w:bCs/>
    </w:rPr>
  </w:style>
  <w:style w:type="character" w:customStyle="1" w:styleId="Heading3Char">
    <w:name w:val="Heading 3 Char"/>
    <w:basedOn w:val="DefaultParagraphFont"/>
    <w:link w:val="Heading3"/>
    <w:uiPriority w:val="9"/>
    <w:semiHidden/>
    <w:rsid w:val="00E0265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02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89712">
      <w:bodyDiv w:val="1"/>
      <w:marLeft w:val="0"/>
      <w:marRight w:val="0"/>
      <w:marTop w:val="0"/>
      <w:marBottom w:val="0"/>
      <w:divBdr>
        <w:top w:val="none" w:sz="0" w:space="0" w:color="auto"/>
        <w:left w:val="none" w:sz="0" w:space="0" w:color="auto"/>
        <w:bottom w:val="none" w:sz="0" w:space="0" w:color="auto"/>
        <w:right w:val="none" w:sz="0" w:space="0" w:color="auto"/>
      </w:divBdr>
    </w:div>
    <w:div w:id="86508804">
      <w:bodyDiv w:val="1"/>
      <w:marLeft w:val="0"/>
      <w:marRight w:val="0"/>
      <w:marTop w:val="0"/>
      <w:marBottom w:val="0"/>
      <w:divBdr>
        <w:top w:val="none" w:sz="0" w:space="0" w:color="auto"/>
        <w:left w:val="none" w:sz="0" w:space="0" w:color="auto"/>
        <w:bottom w:val="none" w:sz="0" w:space="0" w:color="auto"/>
        <w:right w:val="none" w:sz="0" w:space="0" w:color="auto"/>
      </w:divBdr>
    </w:div>
    <w:div w:id="108279345">
      <w:bodyDiv w:val="1"/>
      <w:marLeft w:val="0"/>
      <w:marRight w:val="0"/>
      <w:marTop w:val="0"/>
      <w:marBottom w:val="0"/>
      <w:divBdr>
        <w:top w:val="none" w:sz="0" w:space="0" w:color="auto"/>
        <w:left w:val="none" w:sz="0" w:space="0" w:color="auto"/>
        <w:bottom w:val="none" w:sz="0" w:space="0" w:color="auto"/>
        <w:right w:val="none" w:sz="0" w:space="0" w:color="auto"/>
      </w:divBdr>
    </w:div>
    <w:div w:id="151916934">
      <w:bodyDiv w:val="1"/>
      <w:marLeft w:val="0"/>
      <w:marRight w:val="0"/>
      <w:marTop w:val="0"/>
      <w:marBottom w:val="0"/>
      <w:divBdr>
        <w:top w:val="none" w:sz="0" w:space="0" w:color="auto"/>
        <w:left w:val="none" w:sz="0" w:space="0" w:color="auto"/>
        <w:bottom w:val="none" w:sz="0" w:space="0" w:color="auto"/>
        <w:right w:val="none" w:sz="0" w:space="0" w:color="auto"/>
      </w:divBdr>
    </w:div>
    <w:div w:id="258417951">
      <w:bodyDiv w:val="1"/>
      <w:marLeft w:val="0"/>
      <w:marRight w:val="0"/>
      <w:marTop w:val="0"/>
      <w:marBottom w:val="0"/>
      <w:divBdr>
        <w:top w:val="none" w:sz="0" w:space="0" w:color="auto"/>
        <w:left w:val="none" w:sz="0" w:space="0" w:color="auto"/>
        <w:bottom w:val="none" w:sz="0" w:space="0" w:color="auto"/>
        <w:right w:val="none" w:sz="0" w:space="0" w:color="auto"/>
      </w:divBdr>
    </w:div>
    <w:div w:id="366179468">
      <w:bodyDiv w:val="1"/>
      <w:marLeft w:val="0"/>
      <w:marRight w:val="0"/>
      <w:marTop w:val="0"/>
      <w:marBottom w:val="0"/>
      <w:divBdr>
        <w:top w:val="none" w:sz="0" w:space="0" w:color="auto"/>
        <w:left w:val="none" w:sz="0" w:space="0" w:color="auto"/>
        <w:bottom w:val="none" w:sz="0" w:space="0" w:color="auto"/>
        <w:right w:val="none" w:sz="0" w:space="0" w:color="auto"/>
      </w:divBdr>
    </w:div>
    <w:div w:id="941915977">
      <w:bodyDiv w:val="1"/>
      <w:marLeft w:val="0"/>
      <w:marRight w:val="0"/>
      <w:marTop w:val="0"/>
      <w:marBottom w:val="0"/>
      <w:divBdr>
        <w:top w:val="none" w:sz="0" w:space="0" w:color="auto"/>
        <w:left w:val="none" w:sz="0" w:space="0" w:color="auto"/>
        <w:bottom w:val="none" w:sz="0" w:space="0" w:color="auto"/>
        <w:right w:val="none" w:sz="0" w:space="0" w:color="auto"/>
      </w:divBdr>
    </w:div>
    <w:div w:id="1028876625">
      <w:bodyDiv w:val="1"/>
      <w:marLeft w:val="0"/>
      <w:marRight w:val="0"/>
      <w:marTop w:val="0"/>
      <w:marBottom w:val="0"/>
      <w:divBdr>
        <w:top w:val="none" w:sz="0" w:space="0" w:color="auto"/>
        <w:left w:val="none" w:sz="0" w:space="0" w:color="auto"/>
        <w:bottom w:val="none" w:sz="0" w:space="0" w:color="auto"/>
        <w:right w:val="none" w:sz="0" w:space="0" w:color="auto"/>
      </w:divBdr>
    </w:div>
    <w:div w:id="1383284560">
      <w:bodyDiv w:val="1"/>
      <w:marLeft w:val="0"/>
      <w:marRight w:val="0"/>
      <w:marTop w:val="0"/>
      <w:marBottom w:val="0"/>
      <w:divBdr>
        <w:top w:val="none" w:sz="0" w:space="0" w:color="auto"/>
        <w:left w:val="none" w:sz="0" w:space="0" w:color="auto"/>
        <w:bottom w:val="none" w:sz="0" w:space="0" w:color="auto"/>
        <w:right w:val="none" w:sz="0" w:space="0" w:color="auto"/>
      </w:divBdr>
    </w:div>
    <w:div w:id="1615482290">
      <w:bodyDiv w:val="1"/>
      <w:marLeft w:val="0"/>
      <w:marRight w:val="0"/>
      <w:marTop w:val="0"/>
      <w:marBottom w:val="0"/>
      <w:divBdr>
        <w:top w:val="none" w:sz="0" w:space="0" w:color="auto"/>
        <w:left w:val="none" w:sz="0" w:space="0" w:color="auto"/>
        <w:bottom w:val="none" w:sz="0" w:space="0" w:color="auto"/>
        <w:right w:val="none" w:sz="0" w:space="0" w:color="auto"/>
      </w:divBdr>
    </w:div>
    <w:div w:id="1740860595">
      <w:bodyDiv w:val="1"/>
      <w:marLeft w:val="0"/>
      <w:marRight w:val="0"/>
      <w:marTop w:val="0"/>
      <w:marBottom w:val="0"/>
      <w:divBdr>
        <w:top w:val="none" w:sz="0" w:space="0" w:color="auto"/>
        <w:left w:val="none" w:sz="0" w:space="0" w:color="auto"/>
        <w:bottom w:val="none" w:sz="0" w:space="0" w:color="auto"/>
        <w:right w:val="none" w:sz="0" w:space="0" w:color="auto"/>
      </w:divBdr>
    </w:div>
    <w:div w:id="193732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ptimizesmart.com/understanding-key-performance-indicators-kpis-just-like-that/" TargetMode="External"/><Relationship Id="rId13" Type="http://schemas.openxmlformats.org/officeDocument/2006/relationships/hyperlink" Target="https://www.pwc.com/gx/en/banking-capital-markets/transaction-banking-compass/assets/pwc-transaction-banking-compass-nov-2012.pdf" TargetMode="External"/><Relationship Id="rId3" Type="http://schemas.openxmlformats.org/officeDocument/2006/relationships/settings" Target="settings.xml"/><Relationship Id="rId7" Type="http://schemas.openxmlformats.org/officeDocument/2006/relationships/hyperlink" Target="https://www.klipfolio.com/resources/articles/what-is-a-key-performance-indicator" TargetMode="External"/><Relationship Id="rId12" Type="http://schemas.openxmlformats.org/officeDocument/2006/relationships/hyperlink" Target="https://opsdog.com/categories/kpis-and-metrics/ban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nmsoft.com/resources/bpm-tutorial/key-performance-indicators/" TargetMode="External"/><Relationship Id="rId11" Type="http://schemas.openxmlformats.org/officeDocument/2006/relationships/hyperlink" Target="https://culytics.com/blogs/kpis-for-finance" TargetMode="External"/><Relationship Id="rId5" Type="http://schemas.openxmlformats.org/officeDocument/2006/relationships/hyperlink" Target="http://www.pnmsoft.com/resources/bpm-tutorial/business-process/" TargetMode="External"/><Relationship Id="rId15" Type="http://schemas.openxmlformats.org/officeDocument/2006/relationships/theme" Target="theme/theme1.xml"/><Relationship Id="rId10" Type="http://schemas.openxmlformats.org/officeDocument/2006/relationships/hyperlink" Target="https://culytics.com/blogs/kpis-for-finance" TargetMode="External"/><Relationship Id="rId4" Type="http://schemas.openxmlformats.org/officeDocument/2006/relationships/webSettings" Target="webSettings.xml"/><Relationship Id="rId9" Type="http://schemas.openxmlformats.org/officeDocument/2006/relationships/hyperlink" Target="https://culytics.com/blogs/top-kpis-for-online-bank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Paramasivam Arumugam</dc:creator>
  <cp:keywords/>
  <dc:description/>
  <cp:lastModifiedBy>Paramasivam Arumugam</cp:lastModifiedBy>
  <cp:revision>1</cp:revision>
  <dcterms:created xsi:type="dcterms:W3CDTF">2019-08-28T15:09:00Z</dcterms:created>
  <dcterms:modified xsi:type="dcterms:W3CDTF">2019-08-28T15:26:00Z</dcterms:modified>
</cp:coreProperties>
</file>