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PHENOMENON — LIBIA</w:t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p>
      <w:r>
        <w:rPr>
          <w:sz w:val="24"/>
        </w:rPr>
        <w:br/>
        <w:t>Este documento forma parte de la documentación inicial de PHENOMENON CORE y tiene como finalidad explicar el valor estructural del caso analizado dentro del backend fenomenológico universal.</w:t>
        <w:br/>
        <w:br/>
        <w:t>El objetivo no es simplemente resolver un supuesto jurídico concreto, sino demostrar cómo el engine PHENOMENON puede proyectarse sobre distintos fenómenos manteniendo una arquitectura coherente, modular y reutilizable.</w:t>
        <w:br/>
        <w:br/>
        <w:t>La lógica principal del sistema distingue entre:</w:t>
        <w:br/>
        <w:t>- usuario consciente externo;</w:t>
        <w:br/>
        <w:t>- frontend acetatial;</w:t>
        <w:br/>
        <w:t>- backend profundo;</w:t>
        <w:br/>
        <w:t>- REC;</w:t>
        <w:br/>
        <w:t>- homologación;</w:t>
        <w:br/>
        <w:t>- y dinámica fenomenológica.</w:t>
        <w:br/>
        <w:br/>
        <w:t>El frontend visible representa únicamente una proyección organizada según la REC, mientras que las relaciones estructurales reales permanecen en el backend profundo.</w:t>
        <w:br/>
        <w:br/>
        <w:t>Este caso sirve además para validar la modularidad del engine y evitar que las primeras aplicaciones visibles terminen limitando la evolución futura de PHENOMENON.</w:t>
        <w:br/>
        <w:br/>
        <w:t>El sistema debe desarrollarse siguiendo el orden natural:</w:t>
        <w:br/>
        <w:t>1. usuario consciente;</w:t>
        <w:br/>
        <w:t>2. infinito estructural;</w:t>
        <w:br/>
        <w:t>3. REC;</w:t>
        <w:br/>
        <w:t>4. acetato;</w:t>
        <w:br/>
        <w:t>5. homologación;</w:t>
        <w:br/>
        <w:t>6. reglas;</w:t>
        <w:br/>
        <w:t>7. piezas;</w:t>
        <w:br/>
        <w:t>8. dinámica;</w:t>
        <w:br/>
        <w:t>9. aplicaciones.</w:t>
        <w:br/>
        <w:br/>
        <w:t>PHENOMENON no debe convertirse en una simple aplicación legaltech. Su verdadero valor reside en el backend universal capaz de proyectarse sobre arbitraje, contratos, estructuras empresariales, lingüística, ontología y otros fenómenos complejos.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