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PHENOMENON - Bloque I</w:t>
      </w:r>
    </w:p>
    <w:p>
      <w:r>
        <w:t>Distinción fundamental: Ser (Ess) y Ager (Ag).</w:t>
      </w:r>
    </w:p>
    <w:p>
      <w:r>
        <w:t>Infinito: no predicable, no caótico ni fluídico.</w:t>
      </w:r>
    </w:p>
    <w:p>
      <w:r>
        <w:t>Mundo: caótico (sin geometría) y fluídico (sin cortes).</w:t>
      </w:r>
    </w:p>
    <w:p>
      <w:r>
        <w:t>Geometrización: ordena y jerarquiza.</w:t>
      </w:r>
    </w:p>
    <w:p>
      <w:r>
        <w:t>Estereización: fija y estabiliza.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