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PHENOMENON - Bloque III</w:t>
      </w:r>
    </w:p>
    <w:p>
      <w:r>
        <w:t>Acción = IA vectorizada en el acetato.</w:t>
      </w:r>
    </w:p>
    <w:p>
      <w:r>
        <w:t>Acción como flujo: circula, no ocurre.</w:t>
      </w:r>
    </w:p>
    <w:p>
      <w:r>
        <w:t>Tiempo (IST) = continuidad del vector.</w:t>
      </w:r>
    </w:p>
    <w:p>
      <w:r>
        <w:t>Duración y perduración.</w:t>
      </w:r>
    </w:p>
    <w:p>
      <w:r>
        <w:t>Modulación: interrupción, suspensión, frecuencia.</w:t>
      </w:r>
    </w:p>
    <w:p>
      <w:r>
        <w:t>Plicación: implicación y co-implicación.</w:t>
      </w:r>
    </w:p>
    <w:p>
      <w:r>
        <w:t>Espacio y tiempo = relaciones (IST).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