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PHENOMENON — Caso Completo de Compraventa de Terreno</w:t>
      </w:r>
    </w:p>
    <w:p>
      <w:r>
        <w:rPr>
          <w:sz w:val="24"/>
        </w:rPr>
        <w:br/>
        <w:t>1. OBJETO DEL CASO</w:t>
        <w:br/>
        <w:br/>
        <w:t>El caso de compraventa de terreno constituye el primer pre-MVP estructural de PHENOMENON orientado a una presentación ante Registradores.</w:t>
        <w:br/>
        <w:br/>
        <w:t>El objetivo no es generar un simple contrato ni automatizar formularios, sino demostrar que PHENOMENON es capaz de estructurar fenómenos jurídicos complejos mediante separación entre frontend acetatial y backend fenomenológico profundo.</w:t>
        <w:br/>
        <w:br/>
        <w:t>El sistema debe mostrar:</w:t>
        <w:br/>
        <w:t>- A1 central.</w:t>
        <w:br/>
        <w:t>- SA moduladora.</w:t>
        <w:br/>
        <w:t>- CA.</w:t>
        <w:br/>
        <w:t>- IF.</w:t>
        <w:br/>
        <w:t>- IA mínimas.</w:t>
        <w:br/>
        <w:t>- Opus.</w:t>
        <w:br/>
        <w:t>- Difusión registral.</w:t>
        <w:br/>
        <w:t>- Traditio.</w:t>
        <w:br/>
        <w:t>- Transformación estructural.</w:t>
        <w:br/>
        <w:t>- Separación entre ser, bien y cosa.</w:t>
        <w:br/>
        <w:br/>
        <w:t>El MVP puede acelerarse siempre que no falsee PHENOMENON y siga dependiendo del CORE profundo.</w:t>
        <w:br/>
        <w:br/>
        <w:t>2. USUARIO Y SISTEMA</w:t>
        <w:br/>
        <w:br/>
        <w:t>El usuario está fuera del sistema. La “chica” no es un avatar interno, sino la usuaria consciente real que se asoma a PHENOMENON.</w:t>
        <w:br/>
        <w:br/>
        <w:t>El frontend es acetato.</w:t>
        <w:br/>
        <w:br/>
        <w:t>El backend contiene:</w:t>
        <w:br/>
        <w:t>- REC.</w:t>
        <w:br/>
        <w:t>- Infinito estructural.</w:t>
        <w:br/>
        <w:t>- Interdimensión marrón.</w:t>
        <w:br/>
        <w:t>- Homologación.</w:t>
        <w:br/>
        <w:t>- A1.</w:t>
        <w:br/>
        <w:t>- SA.</w:t>
        <w:br/>
        <w:t>- CA.</w:t>
        <w:br/>
        <w:t>- IF.</w:t>
        <w:br/>
        <w:t>- IA.</w:t>
        <w:br/>
        <w:t>- Reglas.</w:t>
        <w:br/>
        <w:t>- Transformaciones.</w:t>
        <w:br/>
        <w:br/>
        <w:t>El frontend nunca define el backend.</w:t>
        <w:br/>
        <w:br/>
        <w:t>3. SUPUESTO JURÍDICO CORRECTO</w:t>
        <w:br/>
        <w:br/>
        <w:t>A vende a B un terreno.</w:t>
        <w:br/>
        <w:br/>
        <w:t>El precio se estructura así:</w:t>
        <w:br/>
        <w:t>- 1/5 del precio se paga al otorgamiento de escritura.</w:t>
        <w:br/>
        <w:t>- 4/5 se pagarán cuando el terreno alcance la condición urbanística necesaria para ser solar.</w:t>
        <w:br/>
        <w:t>- Existe un límite máximo de dos años.</w:t>
        <w:br/>
        <w:br/>
        <w:t>El vendedor asume como prestación accesoria el pago de las cuotas urbanísticas necesarias para intentar alcanzar dicha situación urbanística.</w:t>
        <w:br/>
        <w:br/>
        <w:t>Sin embargo:</w:t>
        <w:br/>
        <w:t>- el vendedor NO garantiza que el terreno llegue efectivamente a ser solar;</w:t>
        <w:br/>
        <w:t>- la condición urbanística NO forma parte del objeto vendido;</w:t>
        <w:br/>
        <w:t>- el vendiendo sigue siendo exclusivamente el terreno.</w:t>
        <w:br/>
        <w:br/>
        <w:t>Si la condición urbanística no se verifica, puede existir desistimiento convencional configurado vía 1255 CC, pero ello no implica automáticamente incumplimiento resolutorio vía 1124 CC.</w:t>
        <w:br/>
        <w:br/>
        <w:t>4. DISTINCIÓN FUNDAMENTAL</w:t>
        <w:br/>
        <w:br/>
        <w:t>No debe confundirse:</w:t>
        <w:br/>
        <w:t>- condición de ser;</w:t>
        <w:br/>
        <w:t>- con prestación accesoria.</w:t>
        <w:br/>
        <w:br/>
        <w:t>La condición urbanística pertenece a la prosecución lógica del fenómeno.</w:t>
        <w:br/>
        <w:t>El pago de cuotas urbanísticas es únicamente una prestación accesoria.</w:t>
        <w:br/>
        <w:br/>
        <w:t>El terreno es el vendiendo.</w:t>
        <w:br/>
        <w:t>El solar NO es el vendiendo.</w:t>
        <w:br/>
        <w:br/>
        <w:t>5. ESTRUCTURA FENOMENOLÓGICA</w:t>
        <w:br/>
        <w:br/>
        <w:t>La compraventa constituye una ess-agia jurídica cebra.</w:t>
        <w:br/>
        <w:br/>
        <w:t>Existe:</w:t>
        <w:br/>
        <w:t>- base natural omnipresente;</w:t>
        <w:br/>
        <w:t>- y juridificación.</w:t>
        <w:br/>
        <w:br/>
        <w:t>La A1 central es:</w:t>
        <w:br/>
        <w:t>“Dación jurídica del terreno”.</w:t>
        <w:br/>
        <w:br/>
        <w:t>La SA:</w:t>
        <w:br/>
        <w:t>“Acuerdo de compraventa”</w:t>
        <w:br/>
        <w:t>modula la A1, pero no origina el fenómeno.</w:t>
        <w:br/>
        <w:br/>
        <w:t>Las CA principales son:</w:t>
        <w:br/>
        <w:t>- pago inicial;</w:t>
        <w:br/>
        <w:t>- pago restante;</w:t>
        <w:br/>
        <w:t>- pago de cuotas urbanísticas;</w:t>
        <w:br/>
        <w:t>- entrega/traditio.</w:t>
        <w:br/>
        <w:br/>
        <w:t>Las IF:</w:t>
        <w:br/>
        <w:t>- IF temporal: máximo 2 años.</w:t>
        <w:br/>
        <w:t>- IF lógica: obtención de condición urbanística.</w:t>
        <w:br/>
        <w:t>- IF oposición: impago o falta de prosecución.</w:t>
        <w:br/>
        <w:br/>
        <w:t>Las IA mínimas sirven para mostrar convergencia y transformación estructural.</w:t>
        <w:br/>
        <w:br/>
        <w:t>6. TRANSFORMACIÓN ESTRUCTURAL</w:t>
        <w:br/>
        <w:br/>
        <w:t>El ejemplo combinatorio mínimo del pre-MVP es el paso:</w:t>
        <w:br/>
        <w:t>“plazo → condición”.</w:t>
        <w:br/>
        <w:br/>
        <w:t>Antes:</w:t>
        <w:br/>
        <w:t>Pago en 30 días.</w:t>
        <w:br/>
        <w:br/>
        <w:t>Después:</w:t>
        <w:br/>
        <w:t>Pago condicionado a obtención de licencia o condición urbanística.</w:t>
        <w:br/>
        <w:br/>
        <w:t>Fenomenológicamente:</w:t>
        <w:br/>
        <w:t>- el plazo es modulación temporal;</w:t>
        <w:br/>
        <w:t>- la condición es modulación lógica de activación.</w:t>
        <w:br/>
        <w:br/>
        <w:t>Esto basta para demostrar combinatoria real sin implementar todavía todas las IAs.</w:t>
        <w:br/>
        <w:br/>
        <w:t>7. REGISTRO Y DIFUSIÓN</w:t>
        <w:br/>
        <w:br/>
        <w:t>El Registro NO homologa.</w:t>
        <w:br/>
        <w:t>El Registro NO crea legitimidad.</w:t>
        <w:br/>
        <w:t>El Registro NO da publicidad en sentido estructural.</w:t>
        <w:br/>
        <w:t>El Registro difunde.</w:t>
        <w:br/>
        <w:br/>
        <w:t>Difunde:</w:t>
        <w:br/>
        <w:t>- configuraciones documentales;</w:t>
        <w:br/>
        <w:t>- hactos;</w:t>
        <w:br/>
        <w:t>- factores relativos a bienes.</w:t>
        <w:br/>
        <w:br/>
        <w:t>No difunde:</w:t>
        <w:br/>
        <w:t>- seres;</w:t>
        <w:br/>
        <w:t>- legitimidades reales;</w:t>
        <w:br/>
        <w:t>- ni necesariamente prosecuciones consumadas.</w:t>
        <w:br/>
        <w:br/>
        <w:t>La inscripción puede coexistir con ausencia de traditio real.</w:t>
        <w:br/>
        <w:t>Incluso puede existir escritura e inscripción con exclusión expresa de traditio.</w:t>
        <w:br/>
        <w:br/>
        <w:t>8. ALCANCE DEL ARTÍCULO 1462 CC</w:t>
        <w:br/>
        <w:br/>
        <w:t>La escritura pública nunca es traditio real.</w:t>
        <w:br/>
        <w:br/>
        <w:t>El artículo 1462 CC:</w:t>
        <w:br/>
        <w:t>- no presume traditio;</w:t>
        <w:br/>
        <w:t>- no la presupone;</w:t>
        <w:br/>
        <w:t>- no la produce ontológicamente.</w:t>
        <w:br/>
        <w:br/>
        <w:t>Lo que hace es permitir que la escritura funja como instrumento bastante de traditio.</w:t>
        <w:br/>
        <w:br/>
        <w:t>Por ello:</w:t>
        <w:br/>
        <w:t>- no puede negarse necesariamente el cambio de legítimo solo por faltar otra forma material específica;</w:t>
        <w:br/>
        <w:t>- pero tampoco puede afirmarse que exista prosecución real efectiva.</w:t>
        <w:br/>
        <w:br/>
        <w:t>La traditio real pertenece siempre a la prosecución efectiva de A1.</w:t>
        <w:br/>
        <w:br/>
        <w:t>9. DISTINCIÓN ENTRE SER, BIEN Y COSA</w:t>
        <w:br/>
        <w:br/>
        <w:t>Uno de los errores estructurales históricos es no distinguir:</w:t>
        <w:br/>
        <w:t>- ser;</w:t>
        <w:br/>
        <w:t>- bien;</w:t>
        <w:br/>
        <w:t>- y cosa.</w:t>
        <w:br/>
        <w:br/>
        <w:t>El ser es el soporte ontológico/fenomenológico.</w:t>
        <w:br/>
        <w:t>El bien es una funcionalización estructural.</w:t>
        <w:br/>
        <w:t>La cosa es el soporte objetual.</w:t>
        <w:br/>
        <w:br/>
        <w:t>El Registro trabaja sobre bienes y configuraciones patrimoniales, no sobre seres ni legitimidades reales.</w:t>
        <w:br/>
        <w:br/>
        <w:t>10. ARQUITECTURA INFORMÁTICA MÍNIMA</w:t>
        <w:br/>
        <w:br/>
        <w:t>El backend debe contener:</w:t>
        <w:br/>
        <w:t>- REC.</w:t>
        <w:br/>
        <w:t>- Posiciones.</w:t>
        <w:br/>
        <w:t>- A1.</w:t>
        <w:br/>
        <w:t>- SA.</w:t>
        <w:br/>
        <w:t>- CA.</w:t>
        <w:br/>
        <w:t>- IF.</w:t>
        <w:br/>
        <w:t>- IA.</w:t>
        <w:br/>
        <w:t>- Opus.</w:t>
        <w:br/>
        <w:t>- Transformaciones.</w:t>
        <w:br/>
        <w:t>- Persistencia.</w:t>
        <w:br/>
        <w:br/>
        <w:t>El frontend solo representa acetato.</w:t>
        <w:br/>
        <w:br/>
        <w:t>La aplicación visible nunca debe congelar la ontología profunda.</w:t>
        <w:br/>
        <w:br/>
        <w:t>El objetivo del pre-MVP es demostrar:</w:t>
        <w:br/>
        <w:t>- trazabilidad;</w:t>
        <w:br/>
        <w:t>- modularidad;</w:t>
        <w:br/>
        <w:t>- transformación estructural;</w:t>
        <w:br/>
        <w:t>- visualización;</w:t>
        <w:br/>
        <w:t>- y separación entre frontend y backend.</w:t>
        <w:br/>
        <w:br/>
        <w:t>11. OBJETIVO ANTE REGISTRADORES</w:t>
        <w:br/>
        <w:br/>
        <w:t>La presentación debe demostrar que PHENOMENON:</w:t>
        <w:br/>
        <w:t>- no es una simple legaltech;</w:t>
        <w:br/>
        <w:t>- no es un mero generador documental;</w:t>
        <w:br/>
        <w:t>- y no sustituye la realidad.</w:t>
        <w:br/>
        <w:br/>
        <w:t>PHENOMENON:</w:t>
        <w:br/>
        <w:t>- estructura fenómenos;</w:t>
        <w:br/>
        <w:t>- muestra capas;</w:t>
        <w:br/>
        <w:t>- distingue entre acuerdo, difusión, traditio y prosecución;</w:t>
        <w:br/>
        <w:t>- y permite visualizar transformaciones jurídicas profundas.</w:t>
        <w:br/>
        <w:br/>
        <w:t>El Registrador debe ver:</w:t>
        <w:br/>
        <w:t>- qué pertenece al núcleo transmisivo;</w:t>
        <w:br/>
        <w:t>- qué pertenece a modulaciones;</w:t>
        <w:br/>
        <w:t>- qué es condición;</w:t>
        <w:br/>
        <w:t>- qué es prestación accesoria;</w:t>
        <w:br/>
        <w:t>- y qué es mera difusión registral.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