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0804" w14:textId="77777777" w:rsidR="004F08EF" w:rsidRDefault="00000000">
      <w:pPr>
        <w:pStyle w:val="Title"/>
        <w:spacing w:after="200"/>
      </w:pPr>
      <w:r>
        <w:t>Week 1: Data Acquisition, Cleaning &amp; Exploratory Data Analysis</w:t>
      </w:r>
    </w:p>
    <w:p w14:paraId="078E3A41" w14:textId="77777777" w:rsidR="004F08EF" w:rsidRDefault="00000000">
      <w:pPr>
        <w:spacing w:after="400"/>
      </w:pPr>
      <w:r>
        <w:rPr>
          <w:i/>
          <w:iCs/>
          <w:sz w:val="24"/>
          <w:szCs w:val="24"/>
        </w:rPr>
        <w:t>Domain: Indian Financial Markets: NIFTY 50 Index</w:t>
      </w:r>
    </w:p>
    <w:p w14:paraId="765D76F3" w14:textId="77777777" w:rsidR="004F08EF" w:rsidRDefault="00000000">
      <w:pPr>
        <w:spacing w:after="150"/>
      </w:pPr>
      <w:r>
        <w:t>Author: Paras</w:t>
      </w:r>
    </w:p>
    <w:p w14:paraId="7AA92FFA" w14:textId="3777AEDF" w:rsidR="004F08EF" w:rsidRDefault="00000000">
      <w:pPr>
        <w:spacing w:after="150"/>
      </w:pPr>
      <w:r>
        <w:t xml:space="preserve">Date: </w:t>
      </w:r>
      <w:r w:rsidR="00C73C08">
        <w:t>july</w:t>
      </w:r>
      <w:r>
        <w:t xml:space="preserve"> 2026</w:t>
      </w:r>
    </w:p>
    <w:p w14:paraId="47A272A5" w14:textId="77777777" w:rsidR="004F08EF" w:rsidRDefault="00000000">
      <w:pPr>
        <w:spacing w:after="150"/>
      </w:pPr>
      <w:r>
        <w:t>Dataset: NIFTY 50 index daily prices, 1 June 2016 to 30 June 2026 (2,483 trading days)</w:t>
      </w:r>
    </w:p>
    <w:p w14:paraId="3E150247" w14:textId="77777777" w:rsidR="004F08EF" w:rsidRDefault="00000000">
      <w:pPr>
        <w:spacing w:after="150"/>
      </w:pPr>
      <w:r>
        <w:t xml:space="preserve">Tools: Python (Pandas, NumPy, Matplotlib, Seaborn, </w:t>
      </w:r>
      <w:proofErr w:type="spellStart"/>
      <w:r>
        <w:t>yfinance</w:t>
      </w:r>
      <w:proofErr w:type="spellEnd"/>
      <w:r>
        <w:t>), Jupyter</w:t>
      </w:r>
    </w:p>
    <w:p w14:paraId="47052B92" w14:textId="77777777" w:rsidR="004F08EF" w:rsidRDefault="00000000">
      <w:r>
        <w:br w:type="page"/>
      </w:r>
    </w:p>
    <w:p w14:paraId="2C654859" w14:textId="77777777" w:rsidR="004F08EF" w:rsidRDefault="00000000">
      <w:pPr>
        <w:pStyle w:val="Heading1"/>
        <w:spacing w:before="300" w:after="150"/>
      </w:pPr>
      <w:r>
        <w:lastRenderedPageBreak/>
        <w:t>1. Task Objective</w:t>
      </w:r>
    </w:p>
    <w:p w14:paraId="44953CAC" w14:textId="77777777" w:rsidR="004F08EF" w:rsidRDefault="00000000">
      <w:pPr>
        <w:spacing w:after="150"/>
      </w:pPr>
      <w:r>
        <w:t xml:space="preserve">This report documents the data preparation stage of a five-week data science project on the NIFTY 50, India's benchmark equity index. It covers acquiring a public dataset, auditing its quality, cleaning and preprocessing it, and carrying out exploratory data analysis (EDA). The cleaned file produced here (data/nifty_cleaned.csv) is the single input for the </w:t>
      </w:r>
      <w:proofErr w:type="spellStart"/>
      <w:r>
        <w:t>visualisation</w:t>
      </w:r>
      <w:proofErr w:type="spellEnd"/>
      <w:r>
        <w:t>, hypothesis-testing and modelling work in Weeks 2 to 4.</w:t>
      </w:r>
    </w:p>
    <w:p w14:paraId="2C45711F" w14:textId="77777777" w:rsidR="004F08EF" w:rsidRDefault="00000000">
      <w:pPr>
        <w:pStyle w:val="Heading1"/>
        <w:spacing w:before="300" w:after="150"/>
      </w:pPr>
      <w:r>
        <w:t>2. Data Acquisition</w:t>
      </w:r>
    </w:p>
    <w:p w14:paraId="7F11758B" w14:textId="77777777" w:rsidR="004F08EF" w:rsidRDefault="00000000">
      <w:pPr>
        <w:pStyle w:val="Heading2"/>
        <w:spacing w:before="250" w:after="120"/>
      </w:pPr>
      <w:r>
        <w:t>2.1 Source and Scope</w:t>
      </w:r>
    </w:p>
    <w:p w14:paraId="5BD75A0B" w14:textId="77777777" w:rsidR="004F08EF" w:rsidRDefault="00000000">
      <w:pPr>
        <w:pStyle w:val="ListParagraph"/>
        <w:numPr>
          <w:ilvl w:val="0"/>
          <w:numId w:val="1"/>
        </w:numPr>
        <w:spacing w:after="80"/>
      </w:pPr>
      <w:r>
        <w:t xml:space="preserve">Provider: Yahoo Finance, accessed through the </w:t>
      </w:r>
      <w:proofErr w:type="spellStart"/>
      <w:r>
        <w:t>yfinance</w:t>
      </w:r>
      <w:proofErr w:type="spellEnd"/>
      <w:r>
        <w:t xml:space="preserve"> Python library, ticker ^NSEI (NIFTY 50 index)</w:t>
      </w:r>
    </w:p>
    <w:p w14:paraId="6FA63E45" w14:textId="77777777" w:rsidR="004F08EF" w:rsidRDefault="00000000">
      <w:pPr>
        <w:pStyle w:val="ListParagraph"/>
        <w:numPr>
          <w:ilvl w:val="0"/>
          <w:numId w:val="1"/>
        </w:numPr>
        <w:spacing w:after="80"/>
      </w:pPr>
      <w:r>
        <w:t xml:space="preserve">Period: 1 June 2016 to 30 June 2026 (about ten years); the end date is passed as 1 July 2026 because </w:t>
      </w:r>
      <w:proofErr w:type="spellStart"/>
      <w:r>
        <w:t>yfinance</w:t>
      </w:r>
      <w:proofErr w:type="spellEnd"/>
      <w:r>
        <w:t xml:space="preserve"> treats the end date as exclusive</w:t>
      </w:r>
    </w:p>
    <w:p w14:paraId="57AFDAF2" w14:textId="77777777" w:rsidR="004F08EF" w:rsidRDefault="00000000">
      <w:pPr>
        <w:pStyle w:val="ListParagraph"/>
        <w:numPr>
          <w:ilvl w:val="0"/>
          <w:numId w:val="1"/>
        </w:numPr>
        <w:spacing w:after="80"/>
      </w:pPr>
      <w:r>
        <w:t>Fields: Date, Adj Close, Close, High, Low, Open, Volume (daily frequency)</w:t>
      </w:r>
    </w:p>
    <w:p w14:paraId="106F55C0" w14:textId="77777777" w:rsidR="004F08EF" w:rsidRDefault="00000000">
      <w:pPr>
        <w:pStyle w:val="ListParagraph"/>
        <w:numPr>
          <w:ilvl w:val="0"/>
          <w:numId w:val="1"/>
        </w:numPr>
        <w:spacing w:after="80"/>
      </w:pPr>
      <w:r>
        <w:t>Size: 2,483 rows and 7 columns</w:t>
      </w:r>
    </w:p>
    <w:p w14:paraId="1A396671" w14:textId="77777777" w:rsidR="004F08EF" w:rsidRDefault="00000000">
      <w:pPr>
        <w:pStyle w:val="Heading2"/>
        <w:spacing w:before="250" w:after="120"/>
      </w:pPr>
      <w:r>
        <w:t>2.2 Why This Source and Period</w:t>
      </w:r>
    </w:p>
    <w:p w14:paraId="271BBFAA" w14:textId="77777777" w:rsidR="004F08EF" w:rsidRDefault="00000000">
      <w:pPr>
        <w:spacing w:after="150"/>
      </w:pPr>
      <w:r>
        <w:t xml:space="preserve">The official NSE historical-data page was tried first and has real turnover figures, but it refuses downloads longer than 365 days, so ten years would need about ten separate files to be merged. </w:t>
      </w:r>
      <w:proofErr w:type="spellStart"/>
      <w:r>
        <w:t>yfinance</w:t>
      </w:r>
      <w:proofErr w:type="spellEnd"/>
      <w:r>
        <w:t xml:space="preserve"> returns the whole range in one call, which makes the pipeline reproducible. A ten-year window was chosen because it is long enough to contain very different market regimes (the 2020 COVID crash, the 2021 rally, the 2022 correction and a 2026 sell-off) while keeping the dataset small enough to work with quickly.</w:t>
      </w:r>
    </w:p>
    <w:p w14:paraId="6E94A297" w14:textId="77777777" w:rsidR="004F08E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import </w:t>
      </w:r>
      <w:proofErr w:type="spellStart"/>
      <w:r>
        <w:rPr>
          <w:rFonts w:ascii="Consolas" w:eastAsia="Consolas" w:hAnsi="Consolas" w:cs="Consolas"/>
          <w:sz w:val="18"/>
          <w:szCs w:val="18"/>
        </w:rPr>
        <w:t>yfinance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yf</w:t>
      </w:r>
      <w:proofErr w:type="spellEnd"/>
      <w:r>
        <w:rPr>
          <w:rFonts w:ascii="Consolas" w:eastAsia="Consolas" w:hAnsi="Consolas" w:cs="Consolas"/>
          <w:sz w:val="18"/>
          <w:szCs w:val="18"/>
        </w:rPr>
        <w:br/>
      </w:r>
      <w:r>
        <w:rPr>
          <w:rFonts w:ascii="Consolas" w:eastAsia="Consolas" w:hAnsi="Consolas" w:cs="Consolas"/>
          <w:sz w:val="18"/>
          <w:szCs w:val="18"/>
        </w:rPr>
        <w:br/>
        <w:t xml:space="preserve">raw = </w:t>
      </w:r>
      <w:proofErr w:type="spellStart"/>
      <w:proofErr w:type="gramStart"/>
      <w:r>
        <w:rPr>
          <w:rFonts w:ascii="Consolas" w:eastAsia="Consolas" w:hAnsi="Consolas" w:cs="Consolas"/>
          <w:sz w:val="18"/>
          <w:szCs w:val="18"/>
        </w:rPr>
        <w:t>yf.download</w:t>
      </w:r>
      <w:proofErr w:type="spellEnd"/>
      <w:proofErr w:type="gramEnd"/>
      <w:r>
        <w:rPr>
          <w:rFonts w:ascii="Consolas" w:eastAsia="Consolas" w:hAnsi="Consolas" w:cs="Consolas"/>
          <w:sz w:val="18"/>
          <w:szCs w:val="18"/>
        </w:rPr>
        <w:t>("^NSEI", start="2016-06-01", end="2026-07-01",</w:t>
      </w:r>
      <w:r>
        <w:rPr>
          <w:rFonts w:ascii="Consolas" w:eastAsia="Consolas" w:hAnsi="Consolas" w:cs="Consolas"/>
          <w:sz w:val="18"/>
          <w:szCs w:val="18"/>
        </w:rPr>
        <w:br/>
        <w:t xml:space="preserve">                  </w:t>
      </w:r>
      <w:proofErr w:type="spellStart"/>
      <w:r>
        <w:rPr>
          <w:rFonts w:ascii="Consolas" w:eastAsia="Consolas" w:hAnsi="Consolas" w:cs="Consolas"/>
          <w:sz w:val="18"/>
          <w:szCs w:val="18"/>
        </w:rPr>
        <w:t>auto_adjust</w:t>
      </w:r>
      <w:proofErr w:type="spellEnd"/>
      <w:r>
        <w:rPr>
          <w:rFonts w:ascii="Consolas" w:eastAsia="Consolas" w:hAnsi="Consolas" w:cs="Consolas"/>
          <w:sz w:val="18"/>
          <w:szCs w:val="18"/>
        </w:rPr>
        <w:t>=False, progress=False)</w:t>
      </w:r>
      <w:r>
        <w:rPr>
          <w:rFonts w:ascii="Consolas" w:eastAsia="Consolas" w:hAnsi="Consolas" w:cs="Consolas"/>
          <w:sz w:val="18"/>
          <w:szCs w:val="18"/>
        </w:rPr>
        <w:br/>
      </w:r>
      <w:proofErr w:type="spellStart"/>
      <w:proofErr w:type="gramStart"/>
      <w:r>
        <w:rPr>
          <w:rFonts w:ascii="Consolas" w:eastAsia="Consolas" w:hAnsi="Consolas" w:cs="Consolas"/>
          <w:sz w:val="18"/>
          <w:szCs w:val="18"/>
        </w:rPr>
        <w:t>raw.columns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raw.columns.get_level_</w:t>
      </w:r>
      <w:proofErr w:type="gramStart"/>
      <w:r>
        <w:rPr>
          <w:rFonts w:ascii="Consolas" w:eastAsia="Consolas" w:hAnsi="Consolas" w:cs="Consolas"/>
          <w:sz w:val="18"/>
          <w:szCs w:val="18"/>
        </w:rPr>
        <w:t>values</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r>
        <w:rPr>
          <w:rFonts w:ascii="Consolas" w:eastAsia="Consolas" w:hAnsi="Consolas" w:cs="Consolas"/>
          <w:sz w:val="18"/>
          <w:szCs w:val="18"/>
        </w:rPr>
        <w:br/>
        <w:t xml:space="preserve">raw = </w:t>
      </w:r>
      <w:proofErr w:type="spellStart"/>
      <w:proofErr w:type="gramStart"/>
      <w:r>
        <w:rPr>
          <w:rFonts w:ascii="Consolas" w:eastAsia="Consolas" w:hAnsi="Consolas" w:cs="Consolas"/>
          <w:sz w:val="18"/>
          <w:szCs w:val="18"/>
        </w:rPr>
        <w:t>raw.reset</w:t>
      </w:r>
      <w:proofErr w:type="gramEnd"/>
      <w:r>
        <w:rPr>
          <w:rFonts w:ascii="Consolas" w:eastAsia="Consolas" w:hAnsi="Consolas" w:cs="Consolas"/>
          <w:sz w:val="18"/>
          <w:szCs w:val="18"/>
        </w:rPr>
        <w:t>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Date","Adj</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Close","Close","High","Low","Open","Volume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raw.to_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"data/NIFTY50_stock_history.csv", index=False)</w:t>
      </w:r>
    </w:p>
    <w:p w14:paraId="572E5FC8" w14:textId="77777777" w:rsidR="004F08EF" w:rsidRDefault="00000000">
      <w:pPr>
        <w:spacing w:after="150"/>
      </w:pPr>
      <w:r>
        <w:t xml:space="preserve">The download is wrapped in an </w:t>
      </w:r>
      <w:proofErr w:type="spellStart"/>
      <w:proofErr w:type="gramStart"/>
      <w:r>
        <w:t>os.path</w:t>
      </w:r>
      <w:proofErr w:type="gramEnd"/>
      <w:r>
        <w:t>.exists</w:t>
      </w:r>
      <w:proofErr w:type="spellEnd"/>
      <w:r>
        <w:t xml:space="preserve"> check, so re-running the notebook reads the saved file instead of calling Yahoo again.</w:t>
      </w:r>
    </w:p>
    <w:p w14:paraId="291D6F46" w14:textId="77777777" w:rsidR="004F08EF" w:rsidRDefault="00000000">
      <w:pPr>
        <w:pStyle w:val="Heading1"/>
        <w:spacing w:before="300" w:after="150"/>
      </w:pPr>
      <w:r>
        <w:t>3. Data Quality Audit and Cleaning</w:t>
      </w:r>
    </w:p>
    <w:p w14:paraId="69428E51" w14:textId="77777777" w:rsidR="004F08EF" w:rsidRDefault="00000000">
      <w:pPr>
        <w:pStyle w:val="Heading2"/>
        <w:spacing w:before="250" w:after="120"/>
      </w:pPr>
      <w:r>
        <w:t>3.1 Audit Results</w:t>
      </w:r>
    </w:p>
    <w:p w14:paraId="395ABAFA" w14:textId="77777777" w:rsidR="004F08EF" w:rsidRDefault="00000000">
      <w:pPr>
        <w:spacing w:after="150"/>
      </w:pPr>
      <w:r>
        <w:t xml:space="preserve">Before changing anything, the raw data was audited. The results are </w:t>
      </w:r>
      <w:proofErr w:type="spellStart"/>
      <w:r>
        <w:t>summarised</w:t>
      </w:r>
      <w:proofErr w:type="spellEnd"/>
      <w:r>
        <w:t xml:space="preserve">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3680"/>
      </w:tblGrid>
      <w:tr w:rsidR="004F08EF" w14:paraId="0804C6C9" w14:textId="77777777">
        <w:tblPrEx>
          <w:tblCellMar>
            <w:top w:w="0" w:type="dxa"/>
            <w:bottom w:w="0" w:type="dxa"/>
          </w:tblCellMar>
        </w:tblPrEx>
        <w:tc>
          <w:tcPr>
            <w:tcW w:w="3600" w:type="dxa"/>
            <w:shd w:val="clear" w:color="auto" w:fill="2E5395"/>
          </w:tcPr>
          <w:p w14:paraId="68C3E4D5" w14:textId="77777777" w:rsidR="004F08EF" w:rsidRDefault="00000000">
            <w:r>
              <w:rPr>
                <w:b/>
                <w:bCs/>
                <w:color w:val="FFFFFF"/>
                <w:sz w:val="18"/>
                <w:szCs w:val="18"/>
              </w:rPr>
              <w:t>Check</w:t>
            </w:r>
          </w:p>
        </w:tc>
        <w:tc>
          <w:tcPr>
            <w:tcW w:w="2800" w:type="dxa"/>
            <w:shd w:val="clear" w:color="auto" w:fill="2E5395"/>
          </w:tcPr>
          <w:p w14:paraId="3E2E9B51" w14:textId="77777777" w:rsidR="004F08EF" w:rsidRDefault="00000000">
            <w:r>
              <w:rPr>
                <w:b/>
                <w:bCs/>
                <w:color w:val="FFFFFF"/>
                <w:sz w:val="18"/>
                <w:szCs w:val="18"/>
              </w:rPr>
              <w:t>Result</w:t>
            </w:r>
          </w:p>
        </w:tc>
        <w:tc>
          <w:tcPr>
            <w:tcW w:w="3680" w:type="dxa"/>
            <w:shd w:val="clear" w:color="auto" w:fill="2E5395"/>
          </w:tcPr>
          <w:p w14:paraId="1D094766" w14:textId="77777777" w:rsidR="004F08EF" w:rsidRDefault="00000000">
            <w:r>
              <w:rPr>
                <w:b/>
                <w:bCs/>
                <w:color w:val="FFFFFF"/>
                <w:sz w:val="18"/>
                <w:szCs w:val="18"/>
              </w:rPr>
              <w:t>Action</w:t>
            </w:r>
          </w:p>
        </w:tc>
      </w:tr>
      <w:tr w:rsidR="004F08EF" w14:paraId="4B3A830A" w14:textId="77777777">
        <w:tblPrEx>
          <w:tblCellMar>
            <w:top w:w="0" w:type="dxa"/>
            <w:bottom w:w="0" w:type="dxa"/>
          </w:tblCellMar>
        </w:tblPrEx>
        <w:tc>
          <w:tcPr>
            <w:tcW w:w="3600" w:type="dxa"/>
          </w:tcPr>
          <w:p w14:paraId="3A4ABF5F" w14:textId="77777777" w:rsidR="004F08EF" w:rsidRDefault="00000000">
            <w:r>
              <w:rPr>
                <w:sz w:val="18"/>
                <w:szCs w:val="18"/>
              </w:rPr>
              <w:t>Missing values (any column)</w:t>
            </w:r>
          </w:p>
        </w:tc>
        <w:tc>
          <w:tcPr>
            <w:tcW w:w="2800" w:type="dxa"/>
          </w:tcPr>
          <w:p w14:paraId="609C7BBF" w14:textId="77777777" w:rsidR="004F08EF" w:rsidRDefault="00000000">
            <w:r>
              <w:rPr>
                <w:sz w:val="18"/>
                <w:szCs w:val="18"/>
              </w:rPr>
              <w:t>0</w:t>
            </w:r>
          </w:p>
        </w:tc>
        <w:tc>
          <w:tcPr>
            <w:tcW w:w="3680" w:type="dxa"/>
          </w:tcPr>
          <w:p w14:paraId="6E443F3A" w14:textId="77777777" w:rsidR="004F08EF" w:rsidRDefault="00000000">
            <w:r>
              <w:rPr>
                <w:sz w:val="18"/>
                <w:szCs w:val="18"/>
              </w:rPr>
              <w:t>None needed</w:t>
            </w:r>
          </w:p>
        </w:tc>
      </w:tr>
      <w:tr w:rsidR="004F08EF" w14:paraId="675A572E" w14:textId="77777777">
        <w:tblPrEx>
          <w:tblCellMar>
            <w:top w:w="0" w:type="dxa"/>
            <w:bottom w:w="0" w:type="dxa"/>
          </w:tblCellMar>
        </w:tblPrEx>
        <w:tc>
          <w:tcPr>
            <w:tcW w:w="3600" w:type="dxa"/>
          </w:tcPr>
          <w:p w14:paraId="1EC1F0EC" w14:textId="77777777" w:rsidR="004F08EF" w:rsidRDefault="00000000">
            <w:r>
              <w:rPr>
                <w:sz w:val="18"/>
                <w:szCs w:val="18"/>
              </w:rPr>
              <w:t>Exact duplicate rows</w:t>
            </w:r>
          </w:p>
        </w:tc>
        <w:tc>
          <w:tcPr>
            <w:tcW w:w="2800" w:type="dxa"/>
          </w:tcPr>
          <w:p w14:paraId="114462DB" w14:textId="77777777" w:rsidR="004F08EF" w:rsidRDefault="00000000">
            <w:r>
              <w:rPr>
                <w:sz w:val="18"/>
                <w:szCs w:val="18"/>
              </w:rPr>
              <w:t>0</w:t>
            </w:r>
          </w:p>
        </w:tc>
        <w:tc>
          <w:tcPr>
            <w:tcW w:w="3680" w:type="dxa"/>
          </w:tcPr>
          <w:p w14:paraId="07912C3A" w14:textId="77777777" w:rsidR="004F08EF" w:rsidRDefault="00000000">
            <w:r>
              <w:rPr>
                <w:sz w:val="18"/>
                <w:szCs w:val="18"/>
              </w:rPr>
              <w:t>None needed</w:t>
            </w:r>
          </w:p>
        </w:tc>
      </w:tr>
      <w:tr w:rsidR="004F08EF" w14:paraId="18EC4BDF" w14:textId="77777777">
        <w:tblPrEx>
          <w:tblCellMar>
            <w:top w:w="0" w:type="dxa"/>
            <w:bottom w:w="0" w:type="dxa"/>
          </w:tblCellMar>
        </w:tblPrEx>
        <w:tc>
          <w:tcPr>
            <w:tcW w:w="3600" w:type="dxa"/>
          </w:tcPr>
          <w:p w14:paraId="0FCF5CB3" w14:textId="77777777" w:rsidR="004F08EF" w:rsidRDefault="00000000">
            <w:r>
              <w:rPr>
                <w:sz w:val="18"/>
                <w:szCs w:val="18"/>
              </w:rPr>
              <w:t>Duplicate dates</w:t>
            </w:r>
          </w:p>
        </w:tc>
        <w:tc>
          <w:tcPr>
            <w:tcW w:w="2800" w:type="dxa"/>
          </w:tcPr>
          <w:p w14:paraId="21240277" w14:textId="77777777" w:rsidR="004F08EF" w:rsidRDefault="00000000">
            <w:r>
              <w:rPr>
                <w:sz w:val="18"/>
                <w:szCs w:val="18"/>
              </w:rPr>
              <w:t>0</w:t>
            </w:r>
          </w:p>
        </w:tc>
        <w:tc>
          <w:tcPr>
            <w:tcW w:w="3680" w:type="dxa"/>
          </w:tcPr>
          <w:p w14:paraId="7D7F54FC" w14:textId="77777777" w:rsidR="004F08EF" w:rsidRDefault="00000000">
            <w:r>
              <w:rPr>
                <w:sz w:val="18"/>
                <w:szCs w:val="18"/>
              </w:rPr>
              <w:t>None needed</w:t>
            </w:r>
          </w:p>
        </w:tc>
      </w:tr>
      <w:tr w:rsidR="004F08EF" w14:paraId="55400826" w14:textId="77777777">
        <w:tblPrEx>
          <w:tblCellMar>
            <w:top w:w="0" w:type="dxa"/>
            <w:bottom w:w="0" w:type="dxa"/>
          </w:tblCellMar>
        </w:tblPrEx>
        <w:tc>
          <w:tcPr>
            <w:tcW w:w="3600" w:type="dxa"/>
          </w:tcPr>
          <w:p w14:paraId="3C277B76" w14:textId="77777777" w:rsidR="004F08EF" w:rsidRDefault="00000000">
            <w:r>
              <w:rPr>
                <w:sz w:val="18"/>
                <w:szCs w:val="18"/>
              </w:rPr>
              <w:t>OHLC consistency failures</w:t>
            </w:r>
          </w:p>
        </w:tc>
        <w:tc>
          <w:tcPr>
            <w:tcW w:w="2800" w:type="dxa"/>
          </w:tcPr>
          <w:p w14:paraId="51B8225A" w14:textId="77777777" w:rsidR="004F08EF" w:rsidRDefault="00000000">
            <w:r>
              <w:rPr>
                <w:sz w:val="18"/>
                <w:szCs w:val="18"/>
              </w:rPr>
              <w:t>0</w:t>
            </w:r>
          </w:p>
        </w:tc>
        <w:tc>
          <w:tcPr>
            <w:tcW w:w="3680" w:type="dxa"/>
          </w:tcPr>
          <w:p w14:paraId="200AB149" w14:textId="77777777" w:rsidR="004F08EF" w:rsidRDefault="00000000">
            <w:r>
              <w:rPr>
                <w:sz w:val="18"/>
                <w:szCs w:val="18"/>
              </w:rPr>
              <w:t>None needed</w:t>
            </w:r>
          </w:p>
        </w:tc>
      </w:tr>
      <w:tr w:rsidR="004F08EF" w14:paraId="7B029CE6" w14:textId="77777777">
        <w:tblPrEx>
          <w:tblCellMar>
            <w:top w:w="0" w:type="dxa"/>
            <w:bottom w:w="0" w:type="dxa"/>
          </w:tblCellMar>
        </w:tblPrEx>
        <w:tc>
          <w:tcPr>
            <w:tcW w:w="3600" w:type="dxa"/>
          </w:tcPr>
          <w:p w14:paraId="1485705A" w14:textId="77777777" w:rsidR="004F08EF" w:rsidRDefault="00000000">
            <w:r>
              <w:rPr>
                <w:sz w:val="18"/>
                <w:szCs w:val="18"/>
              </w:rPr>
              <w:t>Date column data type</w:t>
            </w:r>
          </w:p>
        </w:tc>
        <w:tc>
          <w:tcPr>
            <w:tcW w:w="2800" w:type="dxa"/>
          </w:tcPr>
          <w:p w14:paraId="5E33D84D" w14:textId="77777777" w:rsidR="004F08EF" w:rsidRDefault="00000000">
            <w:r>
              <w:rPr>
                <w:sz w:val="18"/>
                <w:szCs w:val="18"/>
              </w:rPr>
              <w:t>Text (string)</w:t>
            </w:r>
          </w:p>
        </w:tc>
        <w:tc>
          <w:tcPr>
            <w:tcW w:w="3680" w:type="dxa"/>
          </w:tcPr>
          <w:p w14:paraId="05FDF73D" w14:textId="77777777" w:rsidR="004F08EF" w:rsidRDefault="00000000">
            <w:r>
              <w:rPr>
                <w:sz w:val="18"/>
                <w:szCs w:val="18"/>
              </w:rPr>
              <w:t>Convert to datetime</w:t>
            </w:r>
          </w:p>
        </w:tc>
      </w:tr>
      <w:tr w:rsidR="004F08EF" w14:paraId="7EA7465D" w14:textId="77777777">
        <w:tblPrEx>
          <w:tblCellMar>
            <w:top w:w="0" w:type="dxa"/>
            <w:bottom w:w="0" w:type="dxa"/>
          </w:tblCellMar>
        </w:tblPrEx>
        <w:tc>
          <w:tcPr>
            <w:tcW w:w="3600" w:type="dxa"/>
          </w:tcPr>
          <w:p w14:paraId="2E4A172C" w14:textId="77777777" w:rsidR="004F08EF" w:rsidRDefault="00000000">
            <w:r>
              <w:rPr>
                <w:sz w:val="18"/>
                <w:szCs w:val="18"/>
              </w:rPr>
              <w:t>Rows with Volume = 0</w:t>
            </w:r>
          </w:p>
        </w:tc>
        <w:tc>
          <w:tcPr>
            <w:tcW w:w="2800" w:type="dxa"/>
          </w:tcPr>
          <w:p w14:paraId="6B67B0F3" w14:textId="77777777" w:rsidR="004F08EF" w:rsidRDefault="00000000">
            <w:r>
              <w:rPr>
                <w:sz w:val="18"/>
                <w:szCs w:val="18"/>
              </w:rPr>
              <w:t>28 (1.1%)</w:t>
            </w:r>
          </w:p>
        </w:tc>
        <w:tc>
          <w:tcPr>
            <w:tcW w:w="3680" w:type="dxa"/>
          </w:tcPr>
          <w:p w14:paraId="03FC3C70" w14:textId="77777777" w:rsidR="004F08EF" w:rsidRDefault="00000000">
            <w:r>
              <w:rPr>
                <w:sz w:val="18"/>
                <w:szCs w:val="18"/>
              </w:rPr>
              <w:t>Recode as missing</w:t>
            </w:r>
          </w:p>
        </w:tc>
      </w:tr>
    </w:tbl>
    <w:p w14:paraId="72434808" w14:textId="77777777" w:rsidR="004F08EF" w:rsidRDefault="00000000">
      <w:pPr>
        <w:spacing w:after="150"/>
      </w:pPr>
      <w:r>
        <w:t>The dataset arrived in good condition: there are no gaps, repeats or logically impossible prices. Two genuine issues were found and are handled below. In the interest of honest reporting, no further problems were invented to pad the cleaning section.</w:t>
      </w:r>
    </w:p>
    <w:p w14:paraId="1A2F4AA1" w14:textId="77777777" w:rsidR="004F08EF" w:rsidRDefault="00000000">
      <w:pPr>
        <w:pStyle w:val="Heading2"/>
        <w:spacing w:before="250" w:after="120"/>
      </w:pPr>
      <w:r>
        <w:t>3.2 Correcting the Date Type and Ordering</w:t>
      </w:r>
    </w:p>
    <w:p w14:paraId="234EAF5F" w14:textId="77777777" w:rsidR="004F08EF" w:rsidRDefault="00000000">
      <w:pPr>
        <w:spacing w:after="150"/>
      </w:pPr>
      <w:r>
        <w:t>Dates were stored as plain text, which prevents time-based operations such as sorting, rolling windows and grouping by year. The column was converted to datetime, the rows were sorted chronologically and the index was reset. The cleaned frame covers 2016-06-01 to 2026-06-30 with no duplicate dates.</w:t>
      </w:r>
    </w:p>
    <w:p w14:paraId="1CAAA1C9" w14:textId="77777777" w:rsidR="004F08E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lastRenderedPageBreak/>
        <w:t>df_clean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df.copy</w:t>
      </w:r>
      <w:proofErr w:type="spellEnd"/>
      <w:proofErr w:type="gram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["Date"]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["Date"])</w:t>
      </w:r>
      <w:r>
        <w:rPr>
          <w:rFonts w:ascii="Consolas" w:eastAsia="Consolas" w:hAnsi="Consolas" w:cs="Consolas"/>
          <w:sz w:val="18"/>
          <w:szCs w:val="18"/>
        </w:rPr>
        <w:br/>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("Date"</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reset</w:t>
      </w:r>
      <w:proofErr w:type="gramEnd"/>
      <w:r>
        <w:rPr>
          <w:rFonts w:ascii="Consolas" w:eastAsia="Consolas" w:hAnsi="Consolas" w:cs="Consolas"/>
          <w:sz w:val="18"/>
          <w:szCs w:val="18"/>
        </w:rPr>
        <w:t>_index</w:t>
      </w:r>
      <w:proofErr w:type="spellEnd"/>
      <w:r>
        <w:rPr>
          <w:rFonts w:ascii="Consolas" w:eastAsia="Consolas" w:hAnsi="Consolas" w:cs="Consolas"/>
          <w:sz w:val="18"/>
          <w:szCs w:val="18"/>
        </w:rPr>
        <w:t>(drop=True)</w:t>
      </w:r>
    </w:p>
    <w:p w14:paraId="590D606E" w14:textId="77777777" w:rsidR="004F08EF" w:rsidRDefault="00000000">
      <w:pPr>
        <w:pStyle w:val="Heading2"/>
        <w:spacing w:before="250" w:after="120"/>
      </w:pPr>
      <w:r>
        <w:t>3.3 Recoding Zero Volume as Missing</w:t>
      </w:r>
    </w:p>
    <w:p w14:paraId="71392F94" w14:textId="77777777" w:rsidR="004F08EF" w:rsidRDefault="00000000">
      <w:pPr>
        <w:spacing w:after="150"/>
      </w:pPr>
      <w:r>
        <w:t xml:space="preserve">The audit found 28 trading days (1.1%) with a Volume of exactly 0, even though the index level moved on those days. NIFTY 50 is an index rather than a traded instrument, and Yahoo's index volume is a derived figure that is sometimes recorded as zero when the feed fails. A genuine volume of zero on a normal trading day is not plausible, so these entries are missing data stored as a number. They were recoded to </w:t>
      </w:r>
      <w:proofErr w:type="spellStart"/>
      <w:r>
        <w:t>NaN</w:t>
      </w:r>
      <w:proofErr w:type="spellEnd"/>
      <w:r>
        <w:t xml:space="preserve"> so that they cannot distort averages or correlations. The rows themselves were kept, because their price data is valid.</w:t>
      </w:r>
    </w:p>
    <w:p w14:paraId="39E335E1" w14:textId="77777777" w:rsidR="004F08E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["Volume"]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["Volume"</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np.nan</w:t>
      </w:r>
      <w:proofErr w:type="spellEnd"/>
      <w:r>
        <w:rPr>
          <w:rFonts w:ascii="Consolas" w:eastAsia="Consolas" w:hAnsi="Consolas" w:cs="Consolas"/>
          <w:sz w:val="18"/>
          <w:szCs w:val="18"/>
        </w:rPr>
        <w:t>)</w:t>
      </w:r>
      <w:r>
        <w:rPr>
          <w:rFonts w:ascii="Consolas" w:eastAsia="Consolas" w:hAnsi="Consolas" w:cs="Consolas"/>
          <w:sz w:val="18"/>
          <w:szCs w:val="18"/>
        </w:rPr>
        <w:br/>
        <w:t xml:space="preserve"># 28 rows set to </w:t>
      </w:r>
      <w:proofErr w:type="spellStart"/>
      <w:r>
        <w:rPr>
          <w:rFonts w:ascii="Consolas" w:eastAsia="Consolas" w:hAnsi="Consolas" w:cs="Consolas"/>
          <w:sz w:val="18"/>
          <w:szCs w:val="18"/>
        </w:rPr>
        <w:t>NaN</w:t>
      </w:r>
      <w:proofErr w:type="spellEnd"/>
    </w:p>
    <w:p w14:paraId="5C96CEFB" w14:textId="77777777" w:rsidR="004F08EF" w:rsidRDefault="00000000">
      <w:pPr>
        <w:spacing w:after="150"/>
      </w:pPr>
      <w:r>
        <w:t xml:space="preserve">This is the one case in the dataset where a plain </w:t>
      </w:r>
      <w:proofErr w:type="spellStart"/>
      <w:proofErr w:type="gramStart"/>
      <w:r>
        <w:t>isnull</w:t>
      </w:r>
      <w:proofErr w:type="spellEnd"/>
      <w:r>
        <w:t>(</w:t>
      </w:r>
      <w:proofErr w:type="gramEnd"/>
      <w:r>
        <w:t>) check would have reported "no missing values" while a real data problem was present.</w:t>
      </w:r>
    </w:p>
    <w:p w14:paraId="208F4FA6" w14:textId="77777777" w:rsidR="004F08EF" w:rsidRDefault="00000000">
      <w:pPr>
        <w:pStyle w:val="Heading2"/>
        <w:spacing w:before="250" w:after="120"/>
      </w:pPr>
      <w:r>
        <w:t>3.4 Why No Rows Were Dropped</w:t>
      </w:r>
    </w:p>
    <w:p w14:paraId="34EF4C53" w14:textId="77777777" w:rsidR="004F08EF" w:rsidRDefault="00000000">
      <w:pPr>
        <w:spacing w:after="150"/>
      </w:pPr>
      <w:r>
        <w:t xml:space="preserve">All 2,483 rows were retained. Deleting a trading day from a time series breaks the continuity that rolling averages, daily returns and lag features depend on, and the 28 affected rows have perfectly good price data. Only the unreliable field (Volume) was </w:t>
      </w:r>
      <w:proofErr w:type="spellStart"/>
      <w:r>
        <w:t>neutralised</w:t>
      </w:r>
      <w:proofErr w:type="spellEnd"/>
      <w:r>
        <w:t>, and Week 3's volume test excludes those rows explicitly.</w:t>
      </w:r>
    </w:p>
    <w:p w14:paraId="5B4FEEC2" w14:textId="77777777" w:rsidR="004F08EF" w:rsidRDefault="00000000">
      <w:pPr>
        <w:pStyle w:val="Heading2"/>
        <w:spacing w:before="250" w:after="120"/>
      </w:pPr>
      <w:r>
        <w:t>3.5 Feature Engineering</w:t>
      </w:r>
    </w:p>
    <w:p w14:paraId="248763D1" w14:textId="77777777" w:rsidR="004F08EF" w:rsidRDefault="00000000">
      <w:pPr>
        <w:pStyle w:val="ListParagraph"/>
        <w:numPr>
          <w:ilvl w:val="0"/>
          <w:numId w:val="1"/>
        </w:numPr>
        <w:spacing w:after="80"/>
      </w:pPr>
      <w:proofErr w:type="spellStart"/>
      <w:r>
        <w:t>Daily_Return</w:t>
      </w:r>
      <w:proofErr w:type="spellEnd"/>
      <w:r>
        <w:t>_</w:t>
      </w:r>
      <w:proofErr w:type="gramStart"/>
      <w:r>
        <w:t>% :</w:t>
      </w:r>
      <w:proofErr w:type="gramEnd"/>
      <w:r>
        <w:t xml:space="preserve"> percentage change in Close from the previous trading day</w:t>
      </w:r>
    </w:p>
    <w:p w14:paraId="790D0C82" w14:textId="77777777" w:rsidR="004F08EF" w:rsidRDefault="00000000">
      <w:pPr>
        <w:pStyle w:val="ListParagraph"/>
        <w:numPr>
          <w:ilvl w:val="0"/>
          <w:numId w:val="1"/>
        </w:numPr>
        <w:spacing w:after="80"/>
      </w:pPr>
      <w:r>
        <w:t>MA_50 and MA_</w:t>
      </w:r>
      <w:proofErr w:type="gramStart"/>
      <w:r>
        <w:t>200 :</w:t>
      </w:r>
      <w:proofErr w:type="gramEnd"/>
      <w:r>
        <w:t xml:space="preserve"> 50-day and 200-day moving averages of Close</w:t>
      </w:r>
    </w:p>
    <w:p w14:paraId="04A5D14A" w14:textId="77777777" w:rsidR="004F08EF" w:rsidRDefault="00000000">
      <w:pPr>
        <w:pStyle w:val="ListParagraph"/>
        <w:numPr>
          <w:ilvl w:val="0"/>
          <w:numId w:val="1"/>
        </w:numPr>
        <w:spacing w:after="80"/>
      </w:pPr>
      <w:proofErr w:type="gramStart"/>
      <w:r>
        <w:t>Year :</w:t>
      </w:r>
      <w:proofErr w:type="gramEnd"/>
      <w:r>
        <w:t xml:space="preserve"> calendar year, used to group results in later weeks</w:t>
      </w:r>
    </w:p>
    <w:p w14:paraId="685AB34F" w14:textId="77777777" w:rsidR="004F08E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Daily_Return</w:t>
      </w:r>
      <w:proofErr w:type="spellEnd"/>
      <w:r>
        <w:rPr>
          <w:rFonts w:ascii="Consolas" w:eastAsia="Consolas" w:hAnsi="Consolas" w:cs="Consolas"/>
          <w:sz w:val="18"/>
          <w:szCs w:val="18"/>
        </w:rPr>
        <w:t xml:space="preserve">_%"]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["Close"].</w:t>
      </w:r>
      <w:proofErr w:type="spellStart"/>
      <w:r>
        <w:rPr>
          <w:rFonts w:ascii="Consolas" w:eastAsia="Consolas" w:hAnsi="Consolas" w:cs="Consolas"/>
          <w:sz w:val="18"/>
          <w:szCs w:val="18"/>
        </w:rPr>
        <w:t>pct_</w:t>
      </w:r>
      <w:proofErr w:type="gramStart"/>
      <w:r>
        <w:rPr>
          <w:rFonts w:ascii="Consolas" w:eastAsia="Consolas" w:hAnsi="Consolas" w:cs="Consolas"/>
          <w:sz w:val="18"/>
          <w:szCs w:val="18"/>
        </w:rPr>
        <w:t>change</w:t>
      </w:r>
      <w:proofErr w:type="spellEnd"/>
      <w:r>
        <w:rPr>
          <w:rFonts w:ascii="Consolas" w:eastAsia="Consolas" w:hAnsi="Consolas" w:cs="Consolas"/>
          <w:sz w:val="18"/>
          <w:szCs w:val="18"/>
        </w:rPr>
        <w:t>(</w:t>
      </w:r>
      <w:proofErr w:type="gramEnd"/>
      <w:r>
        <w:rPr>
          <w:rFonts w:ascii="Consolas" w:eastAsia="Consolas" w:hAnsi="Consolas" w:cs="Consolas"/>
          <w:sz w:val="18"/>
          <w:szCs w:val="18"/>
        </w:rPr>
        <w:t>) * 100</w:t>
      </w:r>
      <w:r>
        <w:rPr>
          <w:rFonts w:ascii="Consolas" w:eastAsia="Consolas" w:hAnsi="Consolas" w:cs="Consolas"/>
          <w:sz w:val="18"/>
          <w:szCs w:val="18"/>
        </w:rPr>
        <w:br/>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["MA_50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["Close"</w:t>
      </w:r>
      <w:proofErr w:type="gramStart"/>
      <w:r>
        <w:rPr>
          <w:rFonts w:ascii="Consolas" w:eastAsia="Consolas" w:hAnsi="Consolas" w:cs="Consolas"/>
          <w:sz w:val="18"/>
          <w:szCs w:val="18"/>
        </w:rPr>
        <w:t>].rolling</w:t>
      </w:r>
      <w:proofErr w:type="gramEnd"/>
      <w:r>
        <w:rPr>
          <w:rFonts w:ascii="Consolas" w:eastAsia="Consolas" w:hAnsi="Consolas" w:cs="Consolas"/>
          <w:sz w:val="18"/>
          <w:szCs w:val="18"/>
        </w:rPr>
        <w:t>(50</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["MA_200"]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["Close"</w:t>
      </w:r>
      <w:proofErr w:type="gramStart"/>
      <w:r>
        <w:rPr>
          <w:rFonts w:ascii="Consolas" w:eastAsia="Consolas" w:hAnsi="Consolas" w:cs="Consolas"/>
          <w:sz w:val="18"/>
          <w:szCs w:val="18"/>
        </w:rPr>
        <w:t>].rolling</w:t>
      </w:r>
      <w:proofErr w:type="gramEnd"/>
      <w:r>
        <w:rPr>
          <w:rFonts w:ascii="Consolas" w:eastAsia="Consolas" w:hAnsi="Consolas" w:cs="Consolas"/>
          <w:sz w:val="18"/>
          <w:szCs w:val="18"/>
        </w:rPr>
        <w:t>(200</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["Year</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["Date"].</w:t>
      </w:r>
      <w:proofErr w:type="spellStart"/>
      <w:proofErr w:type="gramStart"/>
      <w:r>
        <w:rPr>
          <w:rFonts w:ascii="Consolas" w:eastAsia="Consolas" w:hAnsi="Consolas" w:cs="Consolas"/>
          <w:sz w:val="18"/>
          <w:szCs w:val="18"/>
        </w:rPr>
        <w:t>dt.year</w:t>
      </w:r>
      <w:proofErr w:type="spellEnd"/>
      <w:proofErr w:type="gramEnd"/>
    </w:p>
    <w:p w14:paraId="7A9DDD13" w14:textId="77777777" w:rsidR="004F08EF" w:rsidRDefault="00000000">
      <w:pPr>
        <w:spacing w:after="150"/>
      </w:pPr>
      <w:r>
        <w:t xml:space="preserve">These features introduce structural </w:t>
      </w:r>
      <w:proofErr w:type="spellStart"/>
      <w:r>
        <w:t>NaN</w:t>
      </w:r>
      <w:proofErr w:type="spellEnd"/>
      <w:r>
        <w:t xml:space="preserve"> values at the start of the series (1 for the return, 49 for MA_50, 199 for MA_200). They are rolling-window warm-up, not data errors, and models in Week 4 simply skip those rows.</w:t>
      </w:r>
    </w:p>
    <w:p w14:paraId="15371A04" w14:textId="77777777" w:rsidR="004F08EF" w:rsidRDefault="00000000">
      <w:pPr>
        <w:pStyle w:val="Heading1"/>
        <w:spacing w:before="300" w:after="150"/>
      </w:pPr>
      <w:r>
        <w:t>4. Exploratory Data Analysis</w:t>
      </w:r>
    </w:p>
    <w:p w14:paraId="7DEDC585" w14:textId="77777777" w:rsidR="004F08EF" w:rsidRDefault="00000000">
      <w:pPr>
        <w:pStyle w:val="Heading2"/>
        <w:spacing w:before="250" w:after="120"/>
      </w:pPr>
      <w:r>
        <w:t>4.1 Summary Statistics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1580"/>
        <w:gridCol w:w="1600"/>
      </w:tblGrid>
      <w:tr w:rsidR="004F08EF" w14:paraId="7F8C3FF9" w14:textId="77777777">
        <w:tblPrEx>
          <w:tblCellMar>
            <w:top w:w="0" w:type="dxa"/>
            <w:bottom w:w="0" w:type="dxa"/>
          </w:tblCellMar>
        </w:tblPrEx>
        <w:tc>
          <w:tcPr>
            <w:tcW w:w="2400" w:type="dxa"/>
            <w:shd w:val="clear" w:color="auto" w:fill="2E5395"/>
          </w:tcPr>
          <w:p w14:paraId="25BF76C1" w14:textId="77777777" w:rsidR="004F08EF" w:rsidRDefault="00000000">
            <w:r>
              <w:rPr>
                <w:b/>
                <w:bCs/>
                <w:color w:val="FFFFFF"/>
                <w:sz w:val="18"/>
                <w:szCs w:val="18"/>
              </w:rPr>
              <w:t>Variable</w:t>
            </w:r>
          </w:p>
        </w:tc>
        <w:tc>
          <w:tcPr>
            <w:tcW w:w="1500" w:type="dxa"/>
            <w:shd w:val="clear" w:color="auto" w:fill="2E5395"/>
          </w:tcPr>
          <w:p w14:paraId="3D3B9245" w14:textId="77777777" w:rsidR="004F08EF" w:rsidRDefault="00000000">
            <w:r>
              <w:rPr>
                <w:b/>
                <w:bCs/>
                <w:color w:val="FFFFFF"/>
                <w:sz w:val="18"/>
                <w:szCs w:val="18"/>
              </w:rPr>
              <w:t>Mean</w:t>
            </w:r>
          </w:p>
        </w:tc>
        <w:tc>
          <w:tcPr>
            <w:tcW w:w="1500" w:type="dxa"/>
            <w:shd w:val="clear" w:color="auto" w:fill="2E5395"/>
          </w:tcPr>
          <w:p w14:paraId="316737D6" w14:textId="77777777" w:rsidR="004F08EF" w:rsidRDefault="00000000">
            <w:r>
              <w:rPr>
                <w:b/>
                <w:bCs/>
                <w:color w:val="FFFFFF"/>
                <w:sz w:val="18"/>
                <w:szCs w:val="18"/>
              </w:rPr>
              <w:t>Median</w:t>
            </w:r>
          </w:p>
        </w:tc>
        <w:tc>
          <w:tcPr>
            <w:tcW w:w="1500" w:type="dxa"/>
            <w:shd w:val="clear" w:color="auto" w:fill="2E5395"/>
          </w:tcPr>
          <w:p w14:paraId="5FD5CD41" w14:textId="77777777" w:rsidR="004F08EF" w:rsidRDefault="00000000">
            <w:r>
              <w:rPr>
                <w:b/>
                <w:bCs/>
                <w:color w:val="FFFFFF"/>
                <w:sz w:val="18"/>
                <w:szCs w:val="18"/>
              </w:rPr>
              <w:t>Std Dev</w:t>
            </w:r>
          </w:p>
        </w:tc>
        <w:tc>
          <w:tcPr>
            <w:tcW w:w="1580" w:type="dxa"/>
            <w:shd w:val="clear" w:color="auto" w:fill="2E5395"/>
          </w:tcPr>
          <w:p w14:paraId="28301F84" w14:textId="77777777" w:rsidR="004F08EF" w:rsidRDefault="00000000">
            <w:r>
              <w:rPr>
                <w:b/>
                <w:bCs/>
                <w:color w:val="FFFFFF"/>
                <w:sz w:val="18"/>
                <w:szCs w:val="18"/>
              </w:rPr>
              <w:t>Min</w:t>
            </w:r>
          </w:p>
        </w:tc>
        <w:tc>
          <w:tcPr>
            <w:tcW w:w="1600" w:type="dxa"/>
            <w:shd w:val="clear" w:color="auto" w:fill="2E5395"/>
          </w:tcPr>
          <w:p w14:paraId="5935C9D1" w14:textId="77777777" w:rsidR="004F08EF" w:rsidRDefault="00000000">
            <w:r>
              <w:rPr>
                <w:b/>
                <w:bCs/>
                <w:color w:val="FFFFFF"/>
                <w:sz w:val="18"/>
                <w:szCs w:val="18"/>
              </w:rPr>
              <w:t>Max</w:t>
            </w:r>
          </w:p>
        </w:tc>
      </w:tr>
      <w:tr w:rsidR="004F08EF" w14:paraId="27510BC8" w14:textId="77777777">
        <w:tblPrEx>
          <w:tblCellMar>
            <w:top w:w="0" w:type="dxa"/>
            <w:bottom w:w="0" w:type="dxa"/>
          </w:tblCellMar>
        </w:tblPrEx>
        <w:tc>
          <w:tcPr>
            <w:tcW w:w="2400" w:type="dxa"/>
          </w:tcPr>
          <w:p w14:paraId="427F269F" w14:textId="77777777" w:rsidR="004F08EF" w:rsidRDefault="00000000">
            <w:r>
              <w:rPr>
                <w:sz w:val="18"/>
                <w:szCs w:val="18"/>
              </w:rPr>
              <w:t>Close (index points)</w:t>
            </w:r>
          </w:p>
        </w:tc>
        <w:tc>
          <w:tcPr>
            <w:tcW w:w="1500" w:type="dxa"/>
          </w:tcPr>
          <w:p w14:paraId="22F982A5" w14:textId="77777777" w:rsidR="004F08EF" w:rsidRDefault="00000000">
            <w:r>
              <w:rPr>
                <w:sz w:val="18"/>
                <w:szCs w:val="18"/>
              </w:rPr>
              <w:t>15,889.8</w:t>
            </w:r>
          </w:p>
        </w:tc>
        <w:tc>
          <w:tcPr>
            <w:tcW w:w="1500" w:type="dxa"/>
          </w:tcPr>
          <w:p w14:paraId="5915C876" w14:textId="77777777" w:rsidR="004F08EF" w:rsidRDefault="00000000">
            <w:r>
              <w:rPr>
                <w:sz w:val="18"/>
                <w:szCs w:val="18"/>
              </w:rPr>
              <w:t>15,687.0</w:t>
            </w:r>
          </w:p>
        </w:tc>
        <w:tc>
          <w:tcPr>
            <w:tcW w:w="1500" w:type="dxa"/>
          </w:tcPr>
          <w:p w14:paraId="33B82C83" w14:textId="77777777" w:rsidR="004F08EF" w:rsidRDefault="00000000">
            <w:r>
              <w:rPr>
                <w:sz w:val="18"/>
                <w:szCs w:val="18"/>
              </w:rPr>
              <w:t>5,725.3</w:t>
            </w:r>
          </w:p>
        </w:tc>
        <w:tc>
          <w:tcPr>
            <w:tcW w:w="1580" w:type="dxa"/>
          </w:tcPr>
          <w:p w14:paraId="3B9068AB" w14:textId="77777777" w:rsidR="004F08EF" w:rsidRDefault="00000000">
            <w:r>
              <w:rPr>
                <w:sz w:val="18"/>
                <w:szCs w:val="18"/>
              </w:rPr>
              <w:t>7,610.2</w:t>
            </w:r>
          </w:p>
        </w:tc>
        <w:tc>
          <w:tcPr>
            <w:tcW w:w="1600" w:type="dxa"/>
          </w:tcPr>
          <w:p w14:paraId="2E0C421D" w14:textId="77777777" w:rsidR="004F08EF" w:rsidRDefault="00000000">
            <w:r>
              <w:rPr>
                <w:sz w:val="18"/>
                <w:szCs w:val="18"/>
              </w:rPr>
              <w:t>26,328.6</w:t>
            </w:r>
          </w:p>
        </w:tc>
      </w:tr>
      <w:tr w:rsidR="004F08EF" w14:paraId="0E761E41" w14:textId="77777777">
        <w:tblPrEx>
          <w:tblCellMar>
            <w:top w:w="0" w:type="dxa"/>
            <w:bottom w:w="0" w:type="dxa"/>
          </w:tblCellMar>
        </w:tblPrEx>
        <w:tc>
          <w:tcPr>
            <w:tcW w:w="2400" w:type="dxa"/>
          </w:tcPr>
          <w:p w14:paraId="6B3DC8CD" w14:textId="77777777" w:rsidR="004F08EF" w:rsidRDefault="00000000">
            <w:r>
              <w:rPr>
                <w:sz w:val="18"/>
                <w:szCs w:val="18"/>
              </w:rPr>
              <w:t>Volume (n = 2,455)</w:t>
            </w:r>
          </w:p>
        </w:tc>
        <w:tc>
          <w:tcPr>
            <w:tcW w:w="1500" w:type="dxa"/>
          </w:tcPr>
          <w:p w14:paraId="3C4D55D0" w14:textId="77777777" w:rsidR="004F08EF" w:rsidRDefault="00000000">
            <w:r>
              <w:rPr>
                <w:sz w:val="18"/>
                <w:szCs w:val="18"/>
              </w:rPr>
              <w:t>350,494</w:t>
            </w:r>
          </w:p>
        </w:tc>
        <w:tc>
          <w:tcPr>
            <w:tcW w:w="1500" w:type="dxa"/>
          </w:tcPr>
          <w:p w14:paraId="7DE1D16B" w14:textId="77777777" w:rsidR="004F08EF" w:rsidRDefault="00000000">
            <w:r>
              <w:rPr>
                <w:sz w:val="18"/>
                <w:szCs w:val="18"/>
              </w:rPr>
              <w:t>290,900</w:t>
            </w:r>
          </w:p>
        </w:tc>
        <w:tc>
          <w:tcPr>
            <w:tcW w:w="1500" w:type="dxa"/>
          </w:tcPr>
          <w:p w14:paraId="5B2BF34D" w14:textId="77777777" w:rsidR="004F08EF" w:rsidRDefault="00000000">
            <w:r>
              <w:rPr>
                <w:sz w:val="18"/>
                <w:szCs w:val="18"/>
              </w:rPr>
              <w:t>187,374</w:t>
            </w:r>
          </w:p>
        </w:tc>
        <w:tc>
          <w:tcPr>
            <w:tcW w:w="1580" w:type="dxa"/>
          </w:tcPr>
          <w:p w14:paraId="4021AD82" w14:textId="77777777" w:rsidR="004F08EF" w:rsidRDefault="00000000">
            <w:r>
              <w:rPr>
                <w:sz w:val="18"/>
                <w:szCs w:val="18"/>
              </w:rPr>
              <w:t>100</w:t>
            </w:r>
          </w:p>
        </w:tc>
        <w:tc>
          <w:tcPr>
            <w:tcW w:w="1600" w:type="dxa"/>
          </w:tcPr>
          <w:p w14:paraId="670A3A94" w14:textId="77777777" w:rsidR="004F08EF" w:rsidRDefault="00000000">
            <w:r>
              <w:rPr>
                <w:sz w:val="18"/>
                <w:szCs w:val="18"/>
              </w:rPr>
              <w:t>1,811,000</w:t>
            </w:r>
          </w:p>
        </w:tc>
      </w:tr>
      <w:tr w:rsidR="004F08EF" w14:paraId="49D2FD5A" w14:textId="77777777">
        <w:tblPrEx>
          <w:tblCellMar>
            <w:top w:w="0" w:type="dxa"/>
            <w:bottom w:w="0" w:type="dxa"/>
          </w:tblCellMar>
        </w:tblPrEx>
        <w:tc>
          <w:tcPr>
            <w:tcW w:w="2400" w:type="dxa"/>
          </w:tcPr>
          <w:p w14:paraId="647358F6" w14:textId="77777777" w:rsidR="004F08EF" w:rsidRDefault="00000000">
            <w:r>
              <w:rPr>
                <w:sz w:val="18"/>
                <w:szCs w:val="18"/>
              </w:rPr>
              <w:t>Daily return (%)</w:t>
            </w:r>
          </w:p>
        </w:tc>
        <w:tc>
          <w:tcPr>
            <w:tcW w:w="1500" w:type="dxa"/>
          </w:tcPr>
          <w:p w14:paraId="3828BBCC" w14:textId="77777777" w:rsidR="004F08EF" w:rsidRDefault="00000000">
            <w:r>
              <w:rPr>
                <w:sz w:val="18"/>
                <w:szCs w:val="18"/>
              </w:rPr>
              <w:t>0.048</w:t>
            </w:r>
          </w:p>
        </w:tc>
        <w:tc>
          <w:tcPr>
            <w:tcW w:w="1500" w:type="dxa"/>
          </w:tcPr>
          <w:p w14:paraId="0DB94034" w14:textId="77777777" w:rsidR="004F08EF" w:rsidRDefault="00000000">
            <w:r>
              <w:rPr>
                <w:sz w:val="18"/>
                <w:szCs w:val="18"/>
              </w:rPr>
              <w:t>0.067</w:t>
            </w:r>
          </w:p>
        </w:tc>
        <w:tc>
          <w:tcPr>
            <w:tcW w:w="1500" w:type="dxa"/>
          </w:tcPr>
          <w:p w14:paraId="16E0BC1F" w14:textId="77777777" w:rsidR="004F08EF" w:rsidRDefault="00000000">
            <w:r>
              <w:rPr>
                <w:sz w:val="18"/>
                <w:szCs w:val="18"/>
              </w:rPr>
              <w:t>1.020</w:t>
            </w:r>
          </w:p>
        </w:tc>
        <w:tc>
          <w:tcPr>
            <w:tcW w:w="1580" w:type="dxa"/>
          </w:tcPr>
          <w:p w14:paraId="469DB1B3" w14:textId="77777777" w:rsidR="004F08EF" w:rsidRDefault="00000000">
            <w:r>
              <w:rPr>
                <w:sz w:val="18"/>
                <w:szCs w:val="18"/>
              </w:rPr>
              <w:t>-12.98</w:t>
            </w:r>
          </w:p>
        </w:tc>
        <w:tc>
          <w:tcPr>
            <w:tcW w:w="1600" w:type="dxa"/>
          </w:tcPr>
          <w:p w14:paraId="2AB701F6" w14:textId="77777777" w:rsidR="004F08EF" w:rsidRDefault="00000000">
            <w:r>
              <w:rPr>
                <w:sz w:val="18"/>
                <w:szCs w:val="18"/>
              </w:rPr>
              <w:t>8.76</w:t>
            </w:r>
          </w:p>
        </w:tc>
      </w:tr>
    </w:tbl>
    <w:p w14:paraId="3E4E4E5F" w14:textId="77777777" w:rsidR="004F08EF" w:rsidRDefault="00000000">
      <w:pPr>
        <w:spacing w:after="150"/>
      </w:pPr>
      <w:r>
        <w:t>The index rose from 8,179.95 on 1 June 2016 to 23,865.75 on 30 June 2026, a gain of about 192% (roughly 11% a year, price return only and excluding dividends). The all-time high in the sample is 26,328.55 on 2 January 2026. The average day is slightly positive (+0.048%), but the standard deviation of 1.02% is about twenty times larger than the mean, so daily movement is dominated by noise.</w:t>
      </w:r>
    </w:p>
    <w:p w14:paraId="5D2162D5" w14:textId="77777777" w:rsidR="004F08EF" w:rsidRDefault="00000000">
      <w:pPr>
        <w:pStyle w:val="Heading2"/>
        <w:spacing w:before="250" w:after="120"/>
      </w:pPr>
      <w:r>
        <w:t>4.2 Missing Data</w:t>
      </w:r>
    </w:p>
    <w:p w14:paraId="64D97ACA" w14:textId="77777777" w:rsidR="004F08EF" w:rsidRDefault="00000000">
      <w:pPr>
        <w:spacing w:before="150" w:after="60"/>
        <w:jc w:val="center"/>
      </w:pPr>
      <w:r>
        <w:rPr>
          <w:noProof/>
        </w:rPr>
        <w:lastRenderedPageBreak/>
        <w:drawing>
          <wp:inline distT="0" distB="0" distL="0" distR="0" wp14:anchorId="7FC19B40" wp14:editId="416DDDFC">
            <wp:extent cx="4476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143250"/>
                    </a:xfrm>
                    <a:prstGeom prst="rect">
                      <a:avLst/>
                    </a:prstGeom>
                  </pic:spPr>
                </pic:pic>
              </a:graphicData>
            </a:graphic>
          </wp:inline>
        </w:drawing>
      </w:r>
    </w:p>
    <w:p w14:paraId="0648896D" w14:textId="77777777" w:rsidR="004F08EF" w:rsidRDefault="00000000">
      <w:pPr>
        <w:spacing w:after="250"/>
        <w:jc w:val="center"/>
      </w:pPr>
      <w:r>
        <w:rPr>
          <w:i/>
          <w:iCs/>
          <w:color w:val="555555"/>
          <w:sz w:val="18"/>
          <w:szCs w:val="18"/>
        </w:rPr>
        <w:t xml:space="preserve">Figure 1: Missing-value heatmap after cleaning. The only gaps are the 28 zero-volume days recoded as </w:t>
      </w:r>
      <w:proofErr w:type="spellStart"/>
      <w:r>
        <w:rPr>
          <w:i/>
          <w:iCs/>
          <w:color w:val="555555"/>
          <w:sz w:val="18"/>
          <w:szCs w:val="18"/>
        </w:rPr>
        <w:t>NaN</w:t>
      </w:r>
      <w:proofErr w:type="spellEnd"/>
      <w:r>
        <w:rPr>
          <w:i/>
          <w:iCs/>
          <w:color w:val="555555"/>
          <w:sz w:val="18"/>
          <w:szCs w:val="18"/>
        </w:rPr>
        <w:t>.</w:t>
      </w:r>
    </w:p>
    <w:p w14:paraId="27CCDF9C" w14:textId="77777777" w:rsidR="004F08EF" w:rsidRDefault="00000000">
      <w:pPr>
        <w:spacing w:after="150"/>
      </w:pPr>
      <w:r>
        <w:t xml:space="preserve">After cleaning, the only missing entries are in the Volume column, shown as thin horizontal lines. They are scattered across the period (13 of the 28 </w:t>
      </w:r>
      <w:proofErr w:type="gramStart"/>
      <w:r>
        <w:t>fall</w:t>
      </w:r>
      <w:proofErr w:type="gramEnd"/>
      <w:r>
        <w:t xml:space="preserve"> in 2018) rather than clustered, which suggests intermittent feed failures instead of a systematic gap.</w:t>
      </w:r>
    </w:p>
    <w:p w14:paraId="79AB224F" w14:textId="77777777" w:rsidR="004F08EF" w:rsidRDefault="00000000">
      <w:pPr>
        <w:pStyle w:val="Heading2"/>
        <w:spacing w:before="250" w:after="120"/>
      </w:pPr>
      <w:r>
        <w:t>4.3 Price Trend</w:t>
      </w:r>
    </w:p>
    <w:p w14:paraId="35502B35" w14:textId="77777777" w:rsidR="004F08EF" w:rsidRDefault="00000000">
      <w:pPr>
        <w:spacing w:before="150" w:after="60"/>
        <w:jc w:val="center"/>
      </w:pPr>
      <w:r>
        <w:rPr>
          <w:noProof/>
        </w:rPr>
        <w:drawing>
          <wp:inline distT="0" distB="0" distL="0" distR="0" wp14:anchorId="2EE9F094" wp14:editId="5FBF240C">
            <wp:extent cx="5334000" cy="2466975"/>
            <wp:effectExtent l="0" t="0" r="0" b="0"/>
            <wp:docPr id="1351639466" name="Picture 135163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66975"/>
                    </a:xfrm>
                    <a:prstGeom prst="rect">
                      <a:avLst/>
                    </a:prstGeom>
                  </pic:spPr>
                </pic:pic>
              </a:graphicData>
            </a:graphic>
          </wp:inline>
        </w:drawing>
      </w:r>
    </w:p>
    <w:p w14:paraId="5F96697E" w14:textId="77777777" w:rsidR="004F08EF" w:rsidRDefault="00000000">
      <w:pPr>
        <w:spacing w:after="250"/>
        <w:jc w:val="center"/>
      </w:pPr>
      <w:r>
        <w:rPr>
          <w:i/>
          <w:iCs/>
          <w:color w:val="555555"/>
          <w:sz w:val="18"/>
          <w:szCs w:val="18"/>
        </w:rPr>
        <w:t>Figure 2: NIFTY 50 closing price, June 2016 to June 2026</w:t>
      </w:r>
    </w:p>
    <w:p w14:paraId="2859ED6D" w14:textId="77777777" w:rsidR="004F08EF" w:rsidRDefault="00000000">
      <w:pPr>
        <w:spacing w:after="150"/>
      </w:pPr>
      <w:r>
        <w:t>Three features stand out: a steady climb through 2016 to 2019, a sharp collapse in March 2020 to a low of 7,610.25, and a strong rise afterwards that reached new highs in 2024 and 2026. The index lost value again in early 2026 and ended the sample about 9% below its peak.</w:t>
      </w:r>
    </w:p>
    <w:p w14:paraId="1CF64298" w14:textId="77777777" w:rsidR="004F08EF" w:rsidRDefault="00000000">
      <w:pPr>
        <w:pStyle w:val="Heading2"/>
        <w:spacing w:before="250" w:after="120"/>
      </w:pPr>
      <w:r>
        <w:t>4.4 Correlation Between Variables</w:t>
      </w:r>
    </w:p>
    <w:p w14:paraId="2E658C73" w14:textId="77777777" w:rsidR="004F08EF" w:rsidRDefault="00000000">
      <w:pPr>
        <w:spacing w:before="150" w:after="60"/>
        <w:jc w:val="center"/>
      </w:pPr>
      <w:r>
        <w:rPr>
          <w:noProof/>
        </w:rPr>
        <w:lastRenderedPageBreak/>
        <w:drawing>
          <wp:inline distT="0" distB="0" distL="0" distR="0" wp14:anchorId="42D6C8BC" wp14:editId="44DFAF1C">
            <wp:extent cx="4476750" cy="3867150"/>
            <wp:effectExtent l="0" t="0" r="0" b="0"/>
            <wp:docPr id="1945983682" name="Picture 194598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867150"/>
                    </a:xfrm>
                    <a:prstGeom prst="rect">
                      <a:avLst/>
                    </a:prstGeom>
                  </pic:spPr>
                </pic:pic>
              </a:graphicData>
            </a:graphic>
          </wp:inline>
        </w:drawing>
      </w:r>
    </w:p>
    <w:p w14:paraId="08C9D958" w14:textId="77777777" w:rsidR="004F08EF" w:rsidRDefault="00000000">
      <w:pPr>
        <w:spacing w:after="250"/>
        <w:jc w:val="center"/>
      </w:pPr>
      <w:r>
        <w:rPr>
          <w:i/>
          <w:iCs/>
          <w:color w:val="555555"/>
          <w:sz w:val="18"/>
          <w:szCs w:val="18"/>
        </w:rPr>
        <w:t>Figure 3: Correlation heatmap of all numeric columns</w:t>
      </w:r>
    </w:p>
    <w:p w14:paraId="42A3B5F9" w14:textId="77777777" w:rsidR="004F08EF" w:rsidRDefault="00000000">
      <w:pPr>
        <w:spacing w:after="150"/>
      </w:pPr>
      <w:r>
        <w:t xml:space="preserve">Open, High, Low, Close and Adj Close are almost perfectly correlated (about 1.00), which is expected because they are all measurements of the same price within one day; only one of them (Close) is needed for modelling. Volume has a weak negative correlation with price (-0.08), and </w:t>
      </w:r>
      <w:proofErr w:type="spellStart"/>
      <w:r>
        <w:t>Daily_Return</w:t>
      </w:r>
      <w:proofErr w:type="spellEnd"/>
      <w:r>
        <w:t>_% is essentially uncorrelated with everything (between -0.03 and 0.00), a first hint that returns are hard to predict. The high correlation of Year with price (0.96) simply reflects the long-run upward trend. Because most of these price-based columns carry the same information, using them together would add redundancy rather than insight.</w:t>
      </w:r>
    </w:p>
    <w:p w14:paraId="1D88E35B" w14:textId="77777777" w:rsidR="004F08EF" w:rsidRDefault="00000000">
      <w:pPr>
        <w:pStyle w:val="Heading2"/>
        <w:spacing w:before="250" w:after="120"/>
      </w:pPr>
      <w:r>
        <w:t>4.5 Distribution of Daily Returns</w:t>
      </w:r>
    </w:p>
    <w:p w14:paraId="2786E1FE" w14:textId="77777777" w:rsidR="004F08EF" w:rsidRDefault="00000000">
      <w:pPr>
        <w:spacing w:before="150" w:after="60"/>
        <w:jc w:val="center"/>
      </w:pPr>
      <w:r>
        <w:rPr>
          <w:noProof/>
        </w:rPr>
        <w:drawing>
          <wp:inline distT="0" distB="0" distL="0" distR="0" wp14:anchorId="544DA4B4" wp14:editId="41B47DEF">
            <wp:extent cx="4476750" cy="2867025"/>
            <wp:effectExtent l="0" t="0" r="0" b="0"/>
            <wp:docPr id="516290716" name="Picture 51629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867025"/>
                    </a:xfrm>
                    <a:prstGeom prst="rect">
                      <a:avLst/>
                    </a:prstGeom>
                  </pic:spPr>
                </pic:pic>
              </a:graphicData>
            </a:graphic>
          </wp:inline>
        </w:drawing>
      </w:r>
    </w:p>
    <w:p w14:paraId="7C988F22" w14:textId="77777777" w:rsidR="004F08EF" w:rsidRDefault="00000000">
      <w:pPr>
        <w:spacing w:after="250"/>
        <w:jc w:val="center"/>
      </w:pPr>
      <w:r>
        <w:rPr>
          <w:i/>
          <w:iCs/>
          <w:color w:val="555555"/>
          <w:sz w:val="18"/>
          <w:szCs w:val="18"/>
        </w:rPr>
        <w:t>Figure 4: Histogram of daily returns with density curve</w:t>
      </w:r>
    </w:p>
    <w:p w14:paraId="03B7FE98" w14:textId="77777777" w:rsidR="004F08EF" w:rsidRDefault="00000000">
      <w:pPr>
        <w:spacing w:after="150"/>
      </w:pPr>
      <w:r>
        <w:lastRenderedPageBreak/>
        <w:t xml:space="preserve">Returns are </w:t>
      </w:r>
      <w:proofErr w:type="spellStart"/>
      <w:r>
        <w:t>centred</w:t>
      </w:r>
      <w:proofErr w:type="spellEnd"/>
      <w:r>
        <w:t xml:space="preserve"> close to zero and look roughly bell-shaped, but the tails are much heavier than a normal distribution allows: the skewness is -1.07 and the excess kurtosis is 19.2. There are 37 days with a move larger than 3% in either direction, and 22 of them fall in 2020. The worst day was 23 March 2020 (-12.98%) and the best was 7 April 2020 (+8.76%).</w:t>
      </w:r>
    </w:p>
    <w:p w14:paraId="44AECEC8" w14:textId="77777777" w:rsidR="004F08EF" w:rsidRDefault="00000000">
      <w:pPr>
        <w:pStyle w:val="Heading1"/>
        <w:spacing w:before="300" w:after="150"/>
      </w:pPr>
      <w:r>
        <w:t>5. Summary of Insights</w:t>
      </w:r>
    </w:p>
    <w:p w14:paraId="013FA607" w14:textId="77777777" w:rsidR="004F08EF" w:rsidRDefault="00000000">
      <w:pPr>
        <w:pStyle w:val="ListParagraph"/>
        <w:numPr>
          <w:ilvl w:val="0"/>
          <w:numId w:val="1"/>
        </w:numPr>
        <w:spacing w:after="80"/>
      </w:pPr>
      <w:r>
        <w:t>Data quality was high: no missing values, duplicates or inconsistent prices. The real issues were text-typed dates and 28 disguised-missing zero-volume days (1.1%).</w:t>
      </w:r>
    </w:p>
    <w:p w14:paraId="01D10615" w14:textId="77777777" w:rsidR="004F08EF" w:rsidRDefault="00000000">
      <w:pPr>
        <w:pStyle w:val="ListParagraph"/>
        <w:numPr>
          <w:ilvl w:val="0"/>
          <w:numId w:val="1"/>
        </w:numPr>
        <w:spacing w:after="80"/>
      </w:pPr>
      <w:r>
        <w:t>The index grew about 192% over the decade, but the path was uneven and was dominated by one event, the March 2020 crash.</w:t>
      </w:r>
    </w:p>
    <w:p w14:paraId="4AE2F533" w14:textId="77777777" w:rsidR="004F08EF" w:rsidRDefault="00000000">
      <w:pPr>
        <w:pStyle w:val="ListParagraph"/>
        <w:numPr>
          <w:ilvl w:val="0"/>
          <w:numId w:val="1"/>
        </w:numPr>
        <w:spacing w:after="80"/>
      </w:pPr>
      <w:r>
        <w:t>Price columns are redundant with each other; Close alone is enough for later analysis.</w:t>
      </w:r>
    </w:p>
    <w:p w14:paraId="7FE572E3" w14:textId="77777777" w:rsidR="004F08EF" w:rsidRDefault="00000000">
      <w:pPr>
        <w:pStyle w:val="ListParagraph"/>
        <w:numPr>
          <w:ilvl w:val="0"/>
          <w:numId w:val="1"/>
        </w:numPr>
        <w:spacing w:after="80"/>
      </w:pPr>
      <w:r>
        <w:t>Daily returns are fat-tailed and negatively skewed, so extreme days occur far more often than a normal-distribution assumption would suggest.</w:t>
      </w:r>
    </w:p>
    <w:p w14:paraId="20755964" w14:textId="77777777" w:rsidR="004F08EF" w:rsidRDefault="00000000">
      <w:pPr>
        <w:pStyle w:val="ListParagraph"/>
        <w:numPr>
          <w:ilvl w:val="0"/>
          <w:numId w:val="1"/>
        </w:numPr>
        <w:spacing w:after="80"/>
      </w:pPr>
      <w:r>
        <w:t>Day-to-day returns are almost uncorrelated with every other variable, which sets cautious expectations for the prediction task in Week 4.</w:t>
      </w:r>
    </w:p>
    <w:p w14:paraId="50F30C98" w14:textId="77777777" w:rsidR="004F08EF" w:rsidRDefault="00000000">
      <w:pPr>
        <w:pStyle w:val="Heading1"/>
        <w:spacing w:before="300" w:after="150"/>
      </w:pPr>
      <w:r>
        <w:t>6. Limitations and Next Steps</w:t>
      </w:r>
    </w:p>
    <w:p w14:paraId="17371710" w14:textId="77777777" w:rsidR="004F08EF" w:rsidRDefault="00000000">
      <w:pPr>
        <w:pStyle w:val="ListParagraph"/>
        <w:numPr>
          <w:ilvl w:val="0"/>
          <w:numId w:val="1"/>
        </w:numPr>
        <w:spacing w:after="80"/>
      </w:pPr>
      <w:r>
        <w:t>Yahoo's index volume is not the official NSE traded volume or turnover; the minimum of 100 shares in the data is a sign of its unreliability. Volume-based results should be treated as indicative.</w:t>
      </w:r>
    </w:p>
    <w:p w14:paraId="377C6D3F" w14:textId="77777777" w:rsidR="004F08EF" w:rsidRDefault="00000000">
      <w:pPr>
        <w:pStyle w:val="ListParagraph"/>
        <w:numPr>
          <w:ilvl w:val="0"/>
          <w:numId w:val="1"/>
        </w:numPr>
        <w:spacing w:after="80"/>
      </w:pPr>
      <w:r>
        <w:t>The data is for one index only and covers a single decade, so it contains one major crash (2020).</w:t>
      </w:r>
    </w:p>
    <w:p w14:paraId="3B77D8B6" w14:textId="77777777" w:rsidR="004F08EF" w:rsidRDefault="00000000">
      <w:pPr>
        <w:pStyle w:val="ListParagraph"/>
        <w:numPr>
          <w:ilvl w:val="0"/>
          <w:numId w:val="1"/>
        </w:numPr>
        <w:spacing w:after="80"/>
      </w:pPr>
      <w:r>
        <w:t>Next steps: tell the story visually (Week 2), test the patterns statistically (Week 3), and test whether they can be used to predict next-day direction (Week 4).</w:t>
      </w:r>
    </w:p>
    <w:sectPr w:rsidR="004F08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B480B"/>
    <w:multiLevelType w:val="hybridMultilevel"/>
    <w:tmpl w:val="44B0A8C0"/>
    <w:lvl w:ilvl="0" w:tplc="4D566FD2">
      <w:start w:val="1"/>
      <w:numFmt w:val="bullet"/>
      <w:lvlText w:val="●"/>
      <w:lvlJc w:val="left"/>
      <w:pPr>
        <w:ind w:left="720" w:hanging="360"/>
      </w:pPr>
    </w:lvl>
    <w:lvl w:ilvl="1" w:tplc="48346172">
      <w:start w:val="1"/>
      <w:numFmt w:val="bullet"/>
      <w:lvlText w:val="○"/>
      <w:lvlJc w:val="left"/>
      <w:pPr>
        <w:ind w:left="1440" w:hanging="360"/>
      </w:pPr>
    </w:lvl>
    <w:lvl w:ilvl="2" w:tplc="C59A36D6">
      <w:start w:val="1"/>
      <w:numFmt w:val="bullet"/>
      <w:lvlText w:val="■"/>
      <w:lvlJc w:val="left"/>
      <w:pPr>
        <w:ind w:left="2160" w:hanging="360"/>
      </w:pPr>
    </w:lvl>
    <w:lvl w:ilvl="3" w:tplc="1512B63E">
      <w:start w:val="1"/>
      <w:numFmt w:val="bullet"/>
      <w:lvlText w:val="●"/>
      <w:lvlJc w:val="left"/>
      <w:pPr>
        <w:ind w:left="2880" w:hanging="360"/>
      </w:pPr>
    </w:lvl>
    <w:lvl w:ilvl="4" w:tplc="05A4A170">
      <w:start w:val="1"/>
      <w:numFmt w:val="bullet"/>
      <w:lvlText w:val="○"/>
      <w:lvlJc w:val="left"/>
      <w:pPr>
        <w:ind w:left="3600" w:hanging="360"/>
      </w:pPr>
    </w:lvl>
    <w:lvl w:ilvl="5" w:tplc="F76A27AE">
      <w:start w:val="1"/>
      <w:numFmt w:val="bullet"/>
      <w:lvlText w:val="■"/>
      <w:lvlJc w:val="left"/>
      <w:pPr>
        <w:ind w:left="4320" w:hanging="360"/>
      </w:pPr>
    </w:lvl>
    <w:lvl w:ilvl="6" w:tplc="9D7ACAAE">
      <w:start w:val="1"/>
      <w:numFmt w:val="bullet"/>
      <w:lvlText w:val="●"/>
      <w:lvlJc w:val="left"/>
      <w:pPr>
        <w:ind w:left="5040" w:hanging="360"/>
      </w:pPr>
    </w:lvl>
    <w:lvl w:ilvl="7" w:tplc="11622D66">
      <w:start w:val="1"/>
      <w:numFmt w:val="bullet"/>
      <w:lvlText w:val="●"/>
      <w:lvlJc w:val="left"/>
      <w:pPr>
        <w:ind w:left="5760" w:hanging="360"/>
      </w:pPr>
    </w:lvl>
    <w:lvl w:ilvl="8" w:tplc="2F1CB916">
      <w:start w:val="1"/>
      <w:numFmt w:val="bullet"/>
      <w:lvlText w:val="●"/>
      <w:lvlJc w:val="left"/>
      <w:pPr>
        <w:ind w:left="6480" w:hanging="360"/>
      </w:pPr>
    </w:lvl>
  </w:abstractNum>
  <w:num w:numId="1" w16cid:durableId="1165777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8EF"/>
    <w:rsid w:val="004F08EF"/>
    <w:rsid w:val="00C73C08"/>
    <w:rsid w:val="00D4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7BCE"/>
  <w15:docId w15:val="{27A01917-0721-44D8-B42E-48C22105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1319</Words>
  <Characters>7519</Characters>
  <Application>Microsoft Office Word</Application>
  <DocSecurity>0</DocSecurity>
  <Lines>62</Lines>
  <Paragraphs>17</Paragraphs>
  <ScaleCrop>false</ScaleCrop>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 NAINWAL</cp:lastModifiedBy>
  <cp:revision>2</cp:revision>
  <dcterms:created xsi:type="dcterms:W3CDTF">2026-10-23T11:37:00Z</dcterms:created>
  <dcterms:modified xsi:type="dcterms:W3CDTF">2026-10-23T16:27:00Z</dcterms:modified>
</cp:coreProperties>
</file>