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3: Statistical Analysis &amp; Hypothesis Testing</w:t>
      </w:r>
    </w:p>
    <w:p>
      <w:pPr>
        <w:spacing w:after="400"/>
      </w:pPr>
      <w:r>
        <w:rPr>
          <w:i/>
          <w:iCs/>
          <w:sz w:val="24"/>
          <w:szCs w:val="24"/>
        </w:rPr>
        <w:t xml:space="preserve">Domain: Indian Financial Markets: NIFTY 50 Index</w:t>
      </w:r>
    </w:p>
    <w:p>
      <w:pPr>
        <w:spacing w:after="150"/>
      </w:pPr>
      <w:r>
        <w:t xml:space="preserve">Author: Paras</w:t>
      </w:r>
    </w:p>
    <w:p>
      <w:pPr>
        <w:spacing w:after="150"/>
      </w:pPr>
      <w:r>
        <w:t xml:space="preserve">Date: October 2026</w:t>
      </w:r>
    </w:p>
    <w:p>
      <w:pPr>
        <w:spacing w:after="150"/>
      </w:pPr>
      <w:r>
        <w:t xml:space="preserve">Dataset: NIFTY 50 index daily prices, 1 June 2016 to 30 June 2026 (2,483 trading days)</w:t>
      </w:r>
    </w:p>
    <w:p>
      <w:pPr>
        <w:spacing w:after="150"/>
      </w:pPr>
      <w:r>
        <w:t xml:space="preserve">Tools: Python (SciPy, Statsmodels, Pandas, Seaborn), Jupyter</w:t>
      </w:r>
    </w:p>
    <w:p>
      <w:r>
        <w:br w:type="page"/>
      </w:r>
    </w:p>
    <w:p>
      <w:pPr>
        <w:pStyle w:val="Heading1"/>
        <w:spacing w:after="150" w:before="300"/>
      </w:pPr>
      <w:r>
        <w:t xml:space="preserve">1. Introduction</w:t>
      </w:r>
    </w:p>
    <w:p>
      <w:pPr>
        <w:spacing w:after="150"/>
      </w:pPr>
      <w:r>
        <w:t xml:space="preserve">Weeks 1 and 2 raised several questions by eye: does the index earn a positive return on an average day, was 2020 really more volatile than a normal period, do some weekdays behave differently, and does trading volume rise when prices swing? This report tests each of these with a formal hypothesis test. Every hypothesis is stated in advance with a null and an alternative, tested at a significance level of 0.05, and interpreted in plain terms, including what the result does not show.</w:t>
      </w:r>
    </w:p>
    <w:p>
      <w:pPr>
        <w:pStyle w:val="Heading1"/>
        <w:spacing w:after="150" w:before="300"/>
      </w:pPr>
      <w:r>
        <w:t xml:space="preserve">2. Methodology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4280"/>
      </w:tblGrid>
      <w:tr>
        <w:tc>
          <w:tcPr>
            <w:tcW w:type="dxa" w:w="1200"/>
            <w:shd w:fill="2E5395" w:val="clear"/>
          </w:tcPr>
          <w:p>
            <w:r>
              <w:rPr>
                <w:b/>
                <w:bCs/>
                <w:color w:val="FFFFFF"/>
                <w:sz w:val="18"/>
                <w:szCs w:val="18"/>
              </w:rPr>
              <w:t xml:space="preserve">Hypothesis</w:t>
            </w:r>
          </w:p>
        </w:tc>
        <w:tc>
          <w:tcPr>
            <w:tcW w:type="dxa" w:w="4600"/>
            <w:shd w:fill="2E5395" w:val="clear"/>
          </w:tcPr>
          <w:p>
            <w:r>
              <w:rPr>
                <w:b/>
                <w:bCs/>
                <w:color w:val="FFFFFF"/>
                <w:sz w:val="18"/>
                <w:szCs w:val="18"/>
              </w:rPr>
              <w:t xml:space="preserve">Question</w:t>
            </w:r>
          </w:p>
        </w:tc>
        <w:tc>
          <w:tcPr>
            <w:tcW w:type="dxa" w:w="4280"/>
            <w:shd w:fill="2E5395" w:val="clear"/>
          </w:tcPr>
          <w:p>
            <w:r>
              <w:rPr>
                <w:b/>
                <w:bCs/>
                <w:color w:val="FFFFFF"/>
                <w:sz w:val="18"/>
                <w:szCs w:val="18"/>
              </w:rPr>
              <w:t xml:space="preserve">Test used</w:t>
            </w:r>
          </w:p>
        </w:tc>
      </w:tr>
      <w:tr>
        <w:tc>
          <w:tcPr>
            <w:tcW w:type="dxa" w:w="1200"/>
          </w:tcPr>
          <w:p>
            <w:r>
              <w:rPr>
                <w:sz w:val="18"/>
                <w:szCs w:val="18"/>
              </w:rPr>
              <w:t xml:space="preserve">H1</w:t>
            </w:r>
          </w:p>
        </w:tc>
        <w:tc>
          <w:tcPr>
            <w:tcW w:type="dxa" w:w="4600"/>
          </w:tcPr>
          <w:p>
            <w:r>
              <w:rPr>
                <w:sz w:val="18"/>
                <w:szCs w:val="18"/>
              </w:rPr>
              <w:t xml:space="preserve">Is the mean daily return different from zero?</w:t>
            </w:r>
          </w:p>
        </w:tc>
        <w:tc>
          <w:tcPr>
            <w:tcW w:type="dxa" w:w="4280"/>
          </w:tcPr>
          <w:p>
            <w:r>
              <w:rPr>
                <w:sz w:val="18"/>
                <w:szCs w:val="18"/>
              </w:rPr>
              <w:t xml:space="preserve">One-sample t-test, plus 95% confidence interval</w:t>
            </w:r>
          </w:p>
        </w:tc>
      </w:tr>
      <w:tr>
        <w:tc>
          <w:tcPr>
            <w:tcW w:type="dxa" w:w="1200"/>
          </w:tcPr>
          <w:p>
            <w:r>
              <w:rPr>
                <w:sz w:val="18"/>
                <w:szCs w:val="18"/>
              </w:rPr>
              <w:t xml:space="preserve">H2</w:t>
            </w:r>
          </w:p>
        </w:tc>
        <w:tc>
          <w:tcPr>
            <w:tcW w:type="dxa" w:w="4600"/>
          </w:tcPr>
          <w:p>
            <w:r>
              <w:rPr>
                <w:sz w:val="18"/>
                <w:szCs w:val="18"/>
              </w:rPr>
              <w:t xml:space="preserve">Was 2020 more volatile than 2017 to 2019?</w:t>
            </w:r>
          </w:p>
        </w:tc>
        <w:tc>
          <w:tcPr>
            <w:tcW w:type="dxa" w:w="4280"/>
          </w:tcPr>
          <w:p>
            <w:r>
              <w:rPr>
                <w:sz w:val="18"/>
                <w:szCs w:val="18"/>
              </w:rPr>
              <w:t xml:space="preserve">Levene's test and Welch's t-test on absolute returns</w:t>
            </w:r>
          </w:p>
        </w:tc>
      </w:tr>
      <w:tr>
        <w:tc>
          <w:tcPr>
            <w:tcW w:type="dxa" w:w="1200"/>
          </w:tcPr>
          <w:p>
            <w:r>
              <w:rPr>
                <w:sz w:val="18"/>
                <w:szCs w:val="18"/>
              </w:rPr>
              <w:t xml:space="preserve">H3</w:t>
            </w:r>
          </w:p>
        </w:tc>
        <w:tc>
          <w:tcPr>
            <w:tcW w:type="dxa" w:w="4600"/>
          </w:tcPr>
          <w:p>
            <w:r>
              <w:rPr>
                <w:sz w:val="18"/>
                <w:szCs w:val="18"/>
              </w:rPr>
              <w:t xml:space="preserve">Does the mean return differ across weekdays?</w:t>
            </w:r>
          </w:p>
        </w:tc>
        <w:tc>
          <w:tcPr>
            <w:tcW w:type="dxa" w:w="4280"/>
          </w:tcPr>
          <w:p>
            <w:r>
              <w:rPr>
                <w:sz w:val="18"/>
                <w:szCs w:val="18"/>
              </w:rPr>
              <w:t xml:space="preserve">One-way ANOVA, Tukey post-hoc test</w:t>
            </w:r>
          </w:p>
        </w:tc>
      </w:tr>
      <w:tr>
        <w:tc>
          <w:tcPr>
            <w:tcW w:type="dxa" w:w="1200"/>
          </w:tcPr>
          <w:p>
            <w:r>
              <w:rPr>
                <w:sz w:val="18"/>
                <w:szCs w:val="18"/>
              </w:rPr>
              <w:t xml:space="preserve">H4</w:t>
            </w:r>
          </w:p>
        </w:tc>
        <w:tc>
          <w:tcPr>
            <w:tcW w:type="dxa" w:w="4600"/>
          </w:tcPr>
          <w:p>
            <w:r>
              <w:rPr>
                <w:sz w:val="18"/>
                <w:szCs w:val="18"/>
              </w:rPr>
              <w:t xml:space="preserve">Do high-volume days have larger price moves?</w:t>
            </w:r>
          </w:p>
        </w:tc>
        <w:tc>
          <w:tcPr>
            <w:tcW w:type="dxa" w:w="4280"/>
          </w:tcPr>
          <w:p>
            <w:r>
              <w:rPr>
                <w:sz w:val="18"/>
                <w:szCs w:val="18"/>
              </w:rPr>
              <w:t xml:space="preserve">Pearson correlation (volume vs absolute return)</w:t>
            </w:r>
          </w:p>
        </w:tc>
      </w:tr>
    </w:tbl>
    <w:p>
      <w:pPr>
        <w:spacing w:after="150"/>
      </w:pPr>
      <w:r>
        <w:t xml:space="preserve">Data: the cleaned file from Week 1. Daily returns are in percent. The 28 zero-volume days recoded as missing in Week 1 are excluded from H4. Sample sizes are given with each test.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 numpy as np</w:t>
      </w:r>
      <w:r>
        <w:rPr>
          <w:rFonts w:ascii="Consolas" w:cs="Consolas" w:eastAsia="Consolas" w:hAnsi="Consolas"/>
          <w:sz w:val="18"/>
          <w:szCs w:val="18"/>
        </w:rPr>
        <w:br/>
        <w:t xml:space="preserve">from scipy import stats</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pd.read_csv("data/nifty_cleaned.csv", parse_dates=["Date"])</w:t>
      </w:r>
      <w:r>
        <w:rPr>
          <w:rFonts w:ascii="Consolas" w:cs="Consolas" w:eastAsia="Consolas" w:hAnsi="Consolas"/>
          <w:sz w:val="18"/>
          <w:szCs w:val="18"/>
        </w:rPr>
        <w:br/>
        <w:t xml:space="preserve">df["Weekday"]    = df["Date"].dt.day_name()</w:t>
      </w:r>
      <w:r>
        <w:rPr>
          <w:rFonts w:ascii="Consolas" w:cs="Consolas" w:eastAsia="Consolas" w:hAnsi="Consolas"/>
          <w:sz w:val="18"/>
          <w:szCs w:val="18"/>
        </w:rPr>
        <w:br/>
        <w:t xml:space="preserve">df["Abs_Return"] = df["Daily_Return_%"].abs()</w:t>
      </w:r>
    </w:p>
    <w:p>
      <w:pPr>
        <w:pStyle w:val="Heading1"/>
        <w:spacing w:after="150" w:before="300"/>
      </w:pPr>
      <w:r>
        <w:t xml:space="preserve">3. Hypothesis 1: Is the Average Daily Return Different from Zero?</w:t>
      </w:r>
    </w:p>
    <w:p>
      <w:pPr>
        <w:pStyle w:val="Heading2"/>
        <w:spacing w:after="120" w:before="250"/>
      </w:pPr>
      <w:r>
        <w:t xml:space="preserve">3.1 Hypotheses</w:t>
      </w:r>
    </w:p>
    <w:p>
      <w:pPr>
        <w:spacing w:after="150"/>
      </w:pPr>
      <w:r>
        <w:t xml:space="preserve">H0: the true mean daily return is 0%. H1: the true mean daily return is not 0%.</w:t>
      </w:r>
    </w:p>
    <w:p>
      <w:pPr>
        <w:pStyle w:val="Heading2"/>
        <w:spacing w:after="120" w:before="250"/>
      </w:pPr>
      <w:r>
        <w:t xml:space="preserve">3.2 Method and Result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returns = df["Daily_Return_%"].dropna()          # n = 2,482</w:t>
      </w:r>
      <w:r>
        <w:rPr>
          <w:rFonts w:ascii="Consolas" w:cs="Consolas" w:eastAsia="Consolas" w:hAnsi="Consolas"/>
          <w:sz w:val="18"/>
          <w:szCs w:val="18"/>
        </w:rPr>
        <w:br/>
        <w:t xml:space="preserve">t_stat, p_value = stats.ttest_1samp(returns, popmean=0)</w:t>
      </w:r>
      <w:r>
        <w:rPr>
          <w:rFonts w:ascii="Consolas" w:cs="Consolas" w:eastAsia="Consolas" w:hAnsi="Consolas"/>
          <w:sz w:val="18"/>
          <w:szCs w:val="18"/>
        </w:rPr>
        <w:br/>
        <w:t xml:space="preserve">ci = stats.t.interval(0.95, len(returns)-1,</w:t>
      </w:r>
      <w:r>
        <w:rPr>
          <w:rFonts w:ascii="Consolas" w:cs="Consolas" w:eastAsia="Consolas" w:hAnsi="Consolas"/>
          <w:sz w:val="18"/>
          <w:szCs w:val="18"/>
        </w:rPr>
        <w:br/>
        <w:t xml:space="preserve">                      loc=returns.mean(), scale=stats.sem(returns))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2E5395" w:val="clear"/>
          </w:tcPr>
          <w:p>
            <w:r>
              <w:rPr>
                <w:b/>
                <w:bCs/>
                <w:color w:val="FFFFFF"/>
                <w:sz w:val="18"/>
                <w:szCs w:val="18"/>
              </w:rPr>
              <w:t xml:space="preserve">Statistic</w:t>
            </w:r>
          </w:p>
        </w:tc>
        <w:tc>
          <w:tcPr>
            <w:tcW w:type="dxa" w:w="5040"/>
            <w:shd w:fill="2E5395" w:val="clear"/>
          </w:tcPr>
          <w:p>
            <w:r>
              <w:rPr>
                <w:b/>
                <w:bCs/>
                <w:color w:val="FFFFFF"/>
                <w:sz w:val="18"/>
                <w:szCs w:val="18"/>
              </w:rPr>
              <w:t xml:space="preserve">Value</w:t>
            </w:r>
          </w:p>
        </w:tc>
      </w:tr>
      <w:tr>
        <w:tc>
          <w:tcPr>
            <w:tcW w:type="dxa" w:w="5040"/>
          </w:tcPr>
          <w:p>
            <w:r>
              <w:rPr>
                <w:sz w:val="18"/>
                <w:szCs w:val="18"/>
              </w:rPr>
              <w:t xml:space="preserve">Sample size</w:t>
            </w:r>
          </w:p>
        </w:tc>
        <w:tc>
          <w:tcPr>
            <w:tcW w:type="dxa" w:w="5040"/>
          </w:tcPr>
          <w:p>
            <w:r>
              <w:rPr>
                <w:sz w:val="18"/>
                <w:szCs w:val="18"/>
              </w:rPr>
              <w:t xml:space="preserve">2,482 daily returns</w:t>
            </w:r>
          </w:p>
        </w:tc>
      </w:tr>
      <w:tr>
        <w:tc>
          <w:tcPr>
            <w:tcW w:type="dxa" w:w="5040"/>
          </w:tcPr>
          <w:p>
            <w:r>
              <w:rPr>
                <w:sz w:val="18"/>
                <w:szCs w:val="18"/>
              </w:rPr>
              <w:t xml:space="preserve">Mean daily return</w:t>
            </w:r>
          </w:p>
        </w:tc>
        <w:tc>
          <w:tcPr>
            <w:tcW w:type="dxa" w:w="5040"/>
          </w:tcPr>
          <w:p>
            <w:r>
              <w:rPr>
                <w:sz w:val="18"/>
                <w:szCs w:val="18"/>
              </w:rPr>
              <w:t xml:space="preserve">0.0484%</w:t>
            </w:r>
          </w:p>
        </w:tc>
      </w:tr>
      <w:tr>
        <w:tc>
          <w:tcPr>
            <w:tcW w:type="dxa" w:w="5040"/>
          </w:tcPr>
          <w:p>
            <w:r>
              <w:rPr>
                <w:sz w:val="18"/>
                <w:szCs w:val="18"/>
              </w:rPr>
              <w:t xml:space="preserve">t statistic</w:t>
            </w:r>
          </w:p>
        </w:tc>
        <w:tc>
          <w:tcPr>
            <w:tcW w:type="dxa" w:w="5040"/>
          </w:tcPr>
          <w:p>
            <w:r>
              <w:rPr>
                <w:sz w:val="18"/>
                <w:szCs w:val="18"/>
              </w:rPr>
              <w:t xml:space="preserve">2.363</w:t>
            </w:r>
          </w:p>
        </w:tc>
      </w:tr>
      <w:tr>
        <w:tc>
          <w:tcPr>
            <w:tcW w:type="dxa" w:w="5040"/>
          </w:tcPr>
          <w:p>
            <w:r>
              <w:rPr>
                <w:sz w:val="18"/>
                <w:szCs w:val="18"/>
              </w:rPr>
              <w:t xml:space="preserve">p-value</w:t>
            </w:r>
          </w:p>
        </w:tc>
        <w:tc>
          <w:tcPr>
            <w:tcW w:type="dxa" w:w="5040"/>
          </w:tcPr>
          <w:p>
            <w:r>
              <w:rPr>
                <w:sz w:val="18"/>
                <w:szCs w:val="18"/>
              </w:rPr>
              <w:t xml:space="preserve">0.0182</w:t>
            </w:r>
          </w:p>
        </w:tc>
      </w:tr>
      <w:tr>
        <w:tc>
          <w:tcPr>
            <w:tcW w:type="dxa" w:w="5040"/>
          </w:tcPr>
          <w:p>
            <w:r>
              <w:rPr>
                <w:sz w:val="18"/>
                <w:szCs w:val="18"/>
              </w:rPr>
              <w:t xml:space="preserve">95% confidence interval for the mean</w:t>
            </w:r>
          </w:p>
        </w:tc>
        <w:tc>
          <w:tcPr>
            <w:tcW w:type="dxa" w:w="5040"/>
          </w:tcPr>
          <w:p>
            <w:r>
              <w:rPr>
                <w:sz w:val="18"/>
                <w:szCs w:val="18"/>
              </w:rPr>
              <w:t xml:space="preserve">0.0082% to 0.0886%</w:t>
            </w:r>
          </w:p>
        </w:tc>
      </w:tr>
    </w:tbl>
    <w:p>
      <w:pPr>
        <w:spacing w:after="60" w:before="15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33700"/>
                    </a:xfrm>
                    <a:prstGeom prst="rect">
                      <a:avLst/>
                    </a:prstGeom>
                  </pic:spPr>
                </pic:pic>
              </a:graphicData>
            </a:graphic>
          </wp:inline>
        </w:drawing>
      </w:r>
    </w:p>
    <w:p>
      <w:pPr>
        <w:spacing w:after="250"/>
        <w:jc w:val="center"/>
      </w:pPr>
      <w:r>
        <w:rPr>
          <w:i/>
          <w:iCs/>
          <w:color w:val="555555"/>
          <w:sz w:val="18"/>
          <w:szCs w:val="18"/>
        </w:rPr>
        <w:t xml:space="preserve">Figure 1: Distribution of daily returns, with the zero line</w:t>
      </w:r>
    </w:p>
    <w:p>
      <w:pPr>
        <w:pStyle w:val="Heading2"/>
        <w:spacing w:after="120" w:before="250"/>
      </w:pPr>
      <w:r>
        <w:t xml:space="preserve">3.3 Interpretation</w:t>
      </w:r>
    </w:p>
    <w:p>
      <w:pPr>
        <w:spacing w:after="150"/>
      </w:pPr>
      <w:r>
        <w:t xml:space="preserve">Because p = 0.0182 is below 0.05, H0 is rejected: the data support a mean daily return that is slightly above zero. The confidence interval says the same thing in another way. We are 95% confident that the true average is between about 0.008% and 0.089% a day, an interval that excludes zero, though only just at the lower end. The effect is small relative to the daily standard deviation of 1.02%, which is why it takes thousands of observations to detect. The positive drift is real in this sample but modest, and it is a statement about the average of the period, not a prediction for any single day.</w:t>
      </w:r>
    </w:p>
    <w:p>
      <w:pPr>
        <w:pStyle w:val="Heading1"/>
        <w:spacing w:after="150" w:before="300"/>
      </w:pPr>
      <w:r>
        <w:t xml:space="preserve">4. Hypothesis 2: Was 2020 More Volatile Than Normal Years?</w:t>
      </w:r>
    </w:p>
    <w:p>
      <w:pPr>
        <w:pStyle w:val="Heading2"/>
        <w:spacing w:after="120" w:before="250"/>
      </w:pPr>
      <w:r>
        <w:t xml:space="preserve">4.1 Hypotheses</w:t>
      </w:r>
    </w:p>
    <w:p>
      <w:pPr>
        <w:spacing w:after="150"/>
      </w:pPr>
      <w:r>
        <w:t xml:space="preserve">H0: the volatility of daily returns in 2020 equals that of 2017 to 2019. H1: volatility in 2020 is different. 2017 to 2019 was used as the comparison group because it is the calm period before the COVID shock.</w:t>
      </w:r>
    </w:p>
    <w:p>
      <w:pPr>
        <w:pStyle w:val="Heading2"/>
        <w:spacing w:after="120" w:before="250"/>
      </w:pPr>
      <w:r>
        <w:t xml:space="preserve">4.2 Method and Result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covid  = df[df["Year"] == 2020]["Daily_Return_%"].dropna()                  # n = 250</w:t>
      </w:r>
      <w:r>
        <w:rPr>
          <w:rFonts w:ascii="Consolas" w:cs="Consolas" w:eastAsia="Consolas" w:hAnsi="Consolas"/>
          <w:sz w:val="18"/>
          <w:szCs w:val="18"/>
        </w:rPr>
        <w:br/>
        <w:t xml:space="preserve">normal = df[df["Year"].between(2017, 2019)]["Daily_Return_%"].dropna()   # n = 734</w:t>
      </w:r>
      <w:r>
        <w:rPr>
          <w:rFonts w:ascii="Consolas" w:cs="Consolas" w:eastAsia="Consolas" w:hAnsi="Consolas"/>
          <w:sz w:val="18"/>
          <w:szCs w:val="18"/>
        </w:rPr>
        <w:br/>
        <w:t xml:space="preserve"/>
      </w:r>
      <w:r>
        <w:rPr>
          <w:rFonts w:ascii="Consolas" w:cs="Consolas" w:eastAsia="Consolas" w:hAnsi="Consolas"/>
          <w:sz w:val="18"/>
          <w:szCs w:val="18"/>
        </w:rPr>
        <w:br/>
        <w:t xml:space="preserve">stats.levene(covid, normal)                                   # equality of variances</w:t>
      </w:r>
      <w:r>
        <w:rPr>
          <w:rFonts w:ascii="Consolas" w:cs="Consolas" w:eastAsia="Consolas" w:hAnsi="Consolas"/>
          <w:sz w:val="18"/>
          <w:szCs w:val="18"/>
        </w:rPr>
        <w:br/>
        <w:t xml:space="preserve">stats.ttest_ind(covid.abs(), normal.abs(), equal_var=False)   # Welch t-test on |return|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shd w:fill="2E5395" w:val="clear"/>
          </w:tcPr>
          <w:p>
            <w:r>
              <w:rPr>
                <w:b/>
                <w:bCs/>
                <w:color w:val="FFFFFF"/>
                <w:sz w:val="18"/>
                <w:szCs w:val="18"/>
              </w:rPr>
              <w:t xml:space="preserve">Measure</w:t>
            </w:r>
          </w:p>
        </w:tc>
        <w:tc>
          <w:tcPr>
            <w:tcW w:type="dxa" w:w="2940"/>
            <w:shd w:fill="2E5395" w:val="clear"/>
          </w:tcPr>
          <w:p>
            <w:r>
              <w:rPr>
                <w:b/>
                <w:bCs/>
                <w:color w:val="FFFFFF"/>
                <w:sz w:val="18"/>
                <w:szCs w:val="18"/>
              </w:rPr>
              <w:t xml:space="preserve">2020</w:t>
            </w:r>
          </w:p>
        </w:tc>
        <w:tc>
          <w:tcPr>
            <w:tcW w:type="dxa" w:w="2940"/>
            <w:shd w:fill="2E5395" w:val="clear"/>
          </w:tcPr>
          <w:p>
            <w:r>
              <w:rPr>
                <w:b/>
                <w:bCs/>
                <w:color w:val="FFFFFF"/>
                <w:sz w:val="18"/>
                <w:szCs w:val="18"/>
              </w:rPr>
              <w:t xml:space="preserve">2017-2019</w:t>
            </w:r>
          </w:p>
        </w:tc>
      </w:tr>
      <w:tr>
        <w:tc>
          <w:tcPr>
            <w:tcW w:type="dxa" w:w="4200"/>
          </w:tcPr>
          <w:p>
            <w:r>
              <w:rPr>
                <w:sz w:val="18"/>
                <w:szCs w:val="18"/>
              </w:rPr>
              <w:t xml:space="preserve">Trading days</w:t>
            </w:r>
          </w:p>
        </w:tc>
        <w:tc>
          <w:tcPr>
            <w:tcW w:type="dxa" w:w="2940"/>
          </w:tcPr>
          <w:p>
            <w:r>
              <w:rPr>
                <w:sz w:val="18"/>
                <w:szCs w:val="18"/>
              </w:rPr>
              <w:t xml:space="preserve">250</w:t>
            </w:r>
          </w:p>
        </w:tc>
        <w:tc>
          <w:tcPr>
            <w:tcW w:type="dxa" w:w="2940"/>
          </w:tcPr>
          <w:p>
            <w:r>
              <w:rPr>
                <w:sz w:val="18"/>
                <w:szCs w:val="18"/>
              </w:rPr>
              <w:t xml:space="preserve">734</w:t>
            </w:r>
          </w:p>
        </w:tc>
      </w:tr>
      <w:tr>
        <w:tc>
          <w:tcPr>
            <w:tcW w:type="dxa" w:w="4200"/>
          </w:tcPr>
          <w:p>
            <w:r>
              <w:rPr>
                <w:sz w:val="18"/>
                <w:szCs w:val="18"/>
              </w:rPr>
              <w:t xml:space="preserve">Std dev of daily return</w:t>
            </w:r>
          </w:p>
        </w:tc>
        <w:tc>
          <w:tcPr>
            <w:tcW w:type="dxa" w:w="2940"/>
          </w:tcPr>
          <w:p>
            <w:r>
              <w:rPr>
                <w:sz w:val="18"/>
                <w:szCs w:val="18"/>
              </w:rPr>
              <w:t xml:space="preserve">1.97%</w:t>
            </w:r>
          </w:p>
        </w:tc>
        <w:tc>
          <w:tcPr>
            <w:tcW w:type="dxa" w:w="2940"/>
          </w:tcPr>
          <w:p>
            <w:r>
              <w:rPr>
                <w:sz w:val="18"/>
                <w:szCs w:val="18"/>
              </w:rPr>
              <w:t xml:space="preserve">0.76%</w:t>
            </w:r>
          </w:p>
        </w:tc>
      </w:tr>
      <w:tr>
        <w:tc>
          <w:tcPr>
            <w:tcW w:type="dxa" w:w="4200"/>
          </w:tcPr>
          <w:p>
            <w:r>
              <w:rPr>
                <w:sz w:val="18"/>
                <w:szCs w:val="18"/>
              </w:rPr>
              <w:t xml:space="preserve">Mean absolute daily return</w:t>
            </w:r>
          </w:p>
        </w:tc>
        <w:tc>
          <w:tcPr>
            <w:tcW w:type="dxa" w:w="2940"/>
          </w:tcPr>
          <w:p>
            <w:r>
              <w:rPr>
                <w:sz w:val="18"/>
                <w:szCs w:val="18"/>
              </w:rPr>
              <w:t xml:space="preserve">1.23%</w:t>
            </w:r>
          </w:p>
        </w:tc>
        <w:tc>
          <w:tcPr>
            <w:tcW w:type="dxa" w:w="2940"/>
          </w:tcPr>
          <w:p>
            <w:r>
              <w:rPr>
                <w:sz w:val="18"/>
                <w:szCs w:val="18"/>
              </w:rPr>
              <w:t xml:space="preserve">0.57%</w:t>
            </w:r>
          </w:p>
        </w:tc>
      </w:tr>
    </w:tbl>
    <w:p>
      <w:pPr>
        <w:spacing w:after="150"/>
      </w:pPr>
      <w:r>
        <w:t xml:space="preserve">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shd w:fill="2E5395" w:val="clear"/>
          </w:tcPr>
          <w:p>
            <w:r>
              <w:rPr>
                <w:b/>
                <w:bCs/>
                <w:color w:val="FFFFFF"/>
                <w:sz w:val="18"/>
                <w:szCs w:val="18"/>
              </w:rPr>
              <w:t xml:space="preserve">Test</w:t>
            </w:r>
          </w:p>
        </w:tc>
        <w:tc>
          <w:tcPr>
            <w:tcW w:type="dxa" w:w="2940"/>
            <w:shd w:fill="2E5395" w:val="clear"/>
          </w:tcPr>
          <w:p>
            <w:r>
              <w:rPr>
                <w:b/>
                <w:bCs/>
                <w:color w:val="FFFFFF"/>
                <w:sz w:val="18"/>
                <w:szCs w:val="18"/>
              </w:rPr>
              <w:t xml:space="preserve">Statistic</w:t>
            </w:r>
          </w:p>
        </w:tc>
        <w:tc>
          <w:tcPr>
            <w:tcW w:type="dxa" w:w="2940"/>
            <w:shd w:fill="2E5395" w:val="clear"/>
          </w:tcPr>
          <w:p>
            <w:r>
              <w:rPr>
                <w:b/>
                <w:bCs/>
                <w:color w:val="FFFFFF"/>
                <w:sz w:val="18"/>
                <w:szCs w:val="18"/>
              </w:rPr>
              <w:t xml:space="preserve">p-value</w:t>
            </w:r>
          </w:p>
        </w:tc>
      </w:tr>
      <w:tr>
        <w:tc>
          <w:tcPr>
            <w:tcW w:type="dxa" w:w="4200"/>
          </w:tcPr>
          <w:p>
            <w:r>
              <w:rPr>
                <w:sz w:val="18"/>
                <w:szCs w:val="18"/>
              </w:rPr>
              <w:t xml:space="preserve">Levene's test (equal variance)</w:t>
            </w:r>
          </w:p>
        </w:tc>
        <w:tc>
          <w:tcPr>
            <w:tcW w:type="dxa" w:w="2940"/>
          </w:tcPr>
          <w:p>
            <w:r>
              <w:rPr>
                <w:sz w:val="18"/>
                <w:szCs w:val="18"/>
              </w:rPr>
              <w:t xml:space="preserve">91.64</w:t>
            </w:r>
          </w:p>
        </w:tc>
        <w:tc>
          <w:tcPr>
            <w:tcW w:type="dxa" w:w="2940"/>
          </w:tcPr>
          <w:p>
            <w:r>
              <w:rPr>
                <w:sz w:val="18"/>
                <w:szCs w:val="18"/>
              </w:rPr>
              <w:t xml:space="preserve">8.1e-21</w:t>
            </w:r>
          </w:p>
        </w:tc>
      </w:tr>
      <w:tr>
        <w:tc>
          <w:tcPr>
            <w:tcW w:type="dxa" w:w="4200"/>
          </w:tcPr>
          <w:p>
            <w:r>
              <w:rPr>
                <w:sz w:val="18"/>
                <w:szCs w:val="18"/>
              </w:rPr>
              <w:t xml:space="preserve">Welch t-test on absolute returns</w:t>
            </w:r>
          </w:p>
        </w:tc>
        <w:tc>
          <w:tcPr>
            <w:tcW w:type="dxa" w:w="2940"/>
          </w:tcPr>
          <w:p>
            <w:r>
              <w:rPr>
                <w:sz w:val="18"/>
                <w:szCs w:val="18"/>
              </w:rPr>
              <w:t xml:space="preserve">6.557</w:t>
            </w:r>
          </w:p>
        </w:tc>
        <w:tc>
          <w:tcPr>
            <w:tcW w:type="dxa" w:w="2940"/>
          </w:tcPr>
          <w:p>
            <w:r>
              <w:rPr>
                <w:sz w:val="18"/>
                <w:szCs w:val="18"/>
              </w:rPr>
              <w:t xml:space="preserve">2.8e-10</w:t>
            </w:r>
          </w:p>
        </w:tc>
      </w:tr>
    </w:tbl>
    <w:p>
      <w:pPr>
        <w:spacing w:after="60" w:before="150"/>
        <w:jc w:val="center"/>
      </w:pPr>
      <w:r>
        <w:drawing>
          <wp:inline distT="0" distB="0" distL="0" distR="0">
            <wp:extent cx="4191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276600"/>
                    </a:xfrm>
                    <a:prstGeom prst="rect">
                      <a:avLst/>
                    </a:prstGeom>
                  </pic:spPr>
                </pic:pic>
              </a:graphicData>
            </a:graphic>
          </wp:inline>
        </w:drawing>
      </w:r>
    </w:p>
    <w:p>
      <w:pPr>
        <w:spacing w:after="250"/>
        <w:jc w:val="center"/>
      </w:pPr>
      <w:r>
        <w:rPr>
          <w:i/>
          <w:iCs/>
          <w:color w:val="555555"/>
          <w:sz w:val="18"/>
          <w:szCs w:val="18"/>
        </w:rPr>
        <w:t xml:space="preserve">Figure 2: Daily returns in 2020 compared with 2017 to 2019</w:t>
      </w:r>
    </w:p>
    <w:p>
      <w:pPr>
        <w:pStyle w:val="Heading2"/>
        <w:spacing w:after="120" w:before="250"/>
      </w:pPr>
      <w:r>
        <w:t xml:space="preserve">4.3 Interpretation</w:t>
      </w:r>
    </w:p>
    <w:p>
      <w:pPr>
        <w:spacing w:after="150"/>
      </w:pPr>
      <w:r>
        <w:t xml:space="preserve">Both tests are strongly significant, so H0 is rejected. Returns in 2020 were spread about 2.6 times more widely than in 2017 to 2019 (standard deviation 1.97% against 0.76%), and the typical size of a daily move was more than double (1.23% against 0.57%). The boxplot shows the same thing: a taller box and far more extreme points. Levene's test checks whether the spread differs, and the Welch test on absolute returns checks whether the typical size of a move differs, and the two agree. This turns the volatility spike seen in Week 2 into a statistically confirmed fact.</w:t>
      </w:r>
    </w:p>
    <w:p>
      <w:pPr>
        <w:pStyle w:val="Heading1"/>
        <w:spacing w:after="150" w:before="300"/>
      </w:pPr>
      <w:r>
        <w:t xml:space="preserve">5. Hypothesis 3: Does the Average Return Differ by Weekday?</w:t>
      </w:r>
    </w:p>
    <w:p>
      <w:pPr>
        <w:pStyle w:val="Heading2"/>
        <w:spacing w:after="120" w:before="250"/>
      </w:pPr>
      <w:r>
        <w:t xml:space="preserve">5.1 Hypotheses</w:t>
      </w:r>
    </w:p>
    <w:p>
      <w:pPr>
        <w:spacing w:after="150"/>
      </w:pPr>
      <w:r>
        <w:t xml:space="preserve">H0: mean daily return is the same on Monday, Tuesday, Wednesday, Thursday and Friday. H1: at least one weekday has a different mean.</w:t>
      </w:r>
    </w:p>
    <w:p>
      <w:pPr>
        <w:pStyle w:val="Heading2"/>
        <w:spacing w:after="120" w:before="250"/>
      </w:pPr>
      <w:r>
        <w:t xml:space="preserve">5.2 Method and Result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weekday_groups = [df[df["Weekday"] == d]["Daily_Return_%"].dropna()</w:t>
      </w:r>
      <w:r>
        <w:rPr>
          <w:rFonts w:ascii="Consolas" w:cs="Consolas" w:eastAsia="Consolas" w:hAnsi="Consolas"/>
          <w:sz w:val="18"/>
          <w:szCs w:val="18"/>
        </w:rPr>
        <w:br/>
        <w:t xml:space="preserve">                  for d in ["Monday","Tuesday","Wednesday","Thursday","Friday"]]</w:t>
      </w:r>
      <w:r>
        <w:rPr>
          <w:rFonts w:ascii="Consolas" w:cs="Consolas" w:eastAsia="Consolas" w:hAnsi="Consolas"/>
          <w:sz w:val="18"/>
          <w:szCs w:val="18"/>
        </w:rPr>
        <w:br/>
        <w:t xml:space="preserve">f_stat, p_value3 = stats.f_oneway(*weekday_groups)</w:t>
      </w:r>
      <w:r>
        <w:rPr>
          <w:rFonts w:ascii="Consolas" w:cs="Consolas" w:eastAsia="Consolas" w:hAnsi="Consolas"/>
          <w:sz w:val="18"/>
          <w:szCs w:val="18"/>
        </w:rPr>
        <w:br/>
        <w:t xml:space="preserve"/>
      </w:r>
      <w:r>
        <w:rPr>
          <w:rFonts w:ascii="Consolas" w:cs="Consolas" w:eastAsia="Consolas" w:hAnsi="Consolas"/>
          <w:sz w:val="18"/>
          <w:szCs w:val="18"/>
        </w:rPr>
        <w:br/>
        <w:t xml:space="preserve">from statsmodels.stats.multicomp import pairwise_tukeyhsd</w:t>
      </w:r>
      <w:r>
        <w:rPr>
          <w:rFonts w:ascii="Consolas" w:cs="Consolas" w:eastAsia="Consolas" w:hAnsi="Consolas"/>
          <w:sz w:val="18"/>
          <w:szCs w:val="18"/>
        </w:rPr>
        <w:br/>
        <w:t xml:space="preserve">print(pairwise_tukeyhsd(tmp["Daily_Return_%"], tmp["Weekday"]))   # post-hoc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2E5395" w:val="clear"/>
          </w:tcPr>
          <w:p>
            <w:r>
              <w:rPr>
                <w:b/>
                <w:bCs/>
                <w:color w:val="FFFFFF"/>
                <w:sz w:val="18"/>
                <w:szCs w:val="18"/>
              </w:rPr>
              <w:t xml:space="preserve">Weekday</w:t>
            </w:r>
          </w:p>
        </w:tc>
        <w:tc>
          <w:tcPr>
            <w:tcW w:type="dxa" w:w="3360"/>
            <w:shd w:fill="2E5395" w:val="clear"/>
          </w:tcPr>
          <w:p>
            <w:r>
              <w:rPr>
                <w:b/>
                <w:bCs/>
                <w:color w:val="FFFFFF"/>
                <w:sz w:val="18"/>
                <w:szCs w:val="18"/>
              </w:rPr>
              <w:t xml:space="preserve">Trading days</w:t>
            </w:r>
          </w:p>
        </w:tc>
        <w:tc>
          <w:tcPr>
            <w:tcW w:type="dxa" w:w="3360"/>
            <w:shd w:fill="2E5395" w:val="clear"/>
          </w:tcPr>
          <w:p>
            <w:r>
              <w:rPr>
                <w:b/>
                <w:bCs/>
                <w:color w:val="FFFFFF"/>
                <w:sz w:val="18"/>
                <w:szCs w:val="18"/>
              </w:rPr>
              <w:t xml:space="preserve">Mean return %</w:t>
            </w:r>
          </w:p>
        </w:tc>
      </w:tr>
      <w:tr>
        <w:tc>
          <w:tcPr>
            <w:tcW w:type="dxa" w:w="3360"/>
          </w:tcPr>
          <w:p>
            <w:r>
              <w:rPr>
                <w:sz w:val="18"/>
                <w:szCs w:val="18"/>
              </w:rPr>
              <w:t xml:space="preserve">Monday</w:t>
            </w:r>
          </w:p>
        </w:tc>
        <w:tc>
          <w:tcPr>
            <w:tcW w:type="dxa" w:w="3360"/>
          </w:tcPr>
          <w:p>
            <w:r>
              <w:rPr>
                <w:sz w:val="18"/>
                <w:szCs w:val="18"/>
              </w:rPr>
              <w:t xml:space="preserve">493</w:t>
            </w:r>
          </w:p>
        </w:tc>
        <w:tc>
          <w:tcPr>
            <w:tcW w:type="dxa" w:w="3360"/>
          </w:tcPr>
          <w:p>
            <w:r>
              <w:rPr>
                <w:sz w:val="18"/>
                <w:szCs w:val="18"/>
              </w:rPr>
              <w:t xml:space="preserve">-0.035</w:t>
            </w:r>
          </w:p>
        </w:tc>
      </w:tr>
      <w:tr>
        <w:tc>
          <w:tcPr>
            <w:tcW w:type="dxa" w:w="3360"/>
          </w:tcPr>
          <w:p>
            <w:r>
              <w:rPr>
                <w:sz w:val="18"/>
                <w:szCs w:val="18"/>
              </w:rPr>
              <w:t xml:space="preserve">Tuesday</w:t>
            </w:r>
          </w:p>
        </w:tc>
        <w:tc>
          <w:tcPr>
            <w:tcW w:type="dxa" w:w="3360"/>
          </w:tcPr>
          <w:p>
            <w:r>
              <w:rPr>
                <w:sz w:val="18"/>
                <w:szCs w:val="18"/>
              </w:rPr>
              <w:t xml:space="preserve">498</w:t>
            </w:r>
          </w:p>
        </w:tc>
        <w:tc>
          <w:tcPr>
            <w:tcW w:type="dxa" w:w="3360"/>
          </w:tcPr>
          <w:p>
            <w:r>
              <w:rPr>
                <w:sz w:val="18"/>
                <w:szCs w:val="18"/>
              </w:rPr>
              <w:t xml:space="preserve">0.145</w:t>
            </w:r>
          </w:p>
        </w:tc>
      </w:tr>
      <w:tr>
        <w:tc>
          <w:tcPr>
            <w:tcW w:type="dxa" w:w="3360"/>
          </w:tcPr>
          <w:p>
            <w:r>
              <w:rPr>
                <w:sz w:val="18"/>
                <w:szCs w:val="18"/>
              </w:rPr>
              <w:t xml:space="preserve">Wednesday</w:t>
            </w:r>
          </w:p>
        </w:tc>
        <w:tc>
          <w:tcPr>
            <w:tcW w:type="dxa" w:w="3360"/>
          </w:tcPr>
          <w:p>
            <w:r>
              <w:rPr>
                <w:sz w:val="18"/>
                <w:szCs w:val="18"/>
              </w:rPr>
              <w:t xml:space="preserve">498</w:t>
            </w:r>
          </w:p>
        </w:tc>
        <w:tc>
          <w:tcPr>
            <w:tcW w:type="dxa" w:w="3360"/>
          </w:tcPr>
          <w:p>
            <w:r>
              <w:rPr>
                <w:sz w:val="18"/>
                <w:szCs w:val="18"/>
              </w:rPr>
              <w:t xml:space="preserve">0.092</w:t>
            </w:r>
          </w:p>
        </w:tc>
      </w:tr>
      <w:tr>
        <w:tc>
          <w:tcPr>
            <w:tcW w:type="dxa" w:w="3360"/>
          </w:tcPr>
          <w:p>
            <w:r>
              <w:rPr>
                <w:sz w:val="18"/>
                <w:szCs w:val="18"/>
              </w:rPr>
              <w:t xml:space="preserve">Thursday</w:t>
            </w:r>
          </w:p>
        </w:tc>
        <w:tc>
          <w:tcPr>
            <w:tcW w:type="dxa" w:w="3360"/>
          </w:tcPr>
          <w:p>
            <w:r>
              <w:rPr>
                <w:sz w:val="18"/>
                <w:szCs w:val="18"/>
              </w:rPr>
              <w:t xml:space="preserve">501</w:t>
            </w:r>
          </w:p>
        </w:tc>
        <w:tc>
          <w:tcPr>
            <w:tcW w:type="dxa" w:w="3360"/>
          </w:tcPr>
          <w:p>
            <w:r>
              <w:rPr>
                <w:sz w:val="18"/>
                <w:szCs w:val="18"/>
              </w:rPr>
              <w:t xml:space="preserve">0.011</w:t>
            </w:r>
          </w:p>
        </w:tc>
      </w:tr>
      <w:tr>
        <w:tc>
          <w:tcPr>
            <w:tcW w:type="dxa" w:w="3360"/>
          </w:tcPr>
          <w:p>
            <w:r>
              <w:rPr>
                <w:sz w:val="18"/>
                <w:szCs w:val="18"/>
              </w:rPr>
              <w:t xml:space="preserve">Friday</w:t>
            </w:r>
          </w:p>
        </w:tc>
        <w:tc>
          <w:tcPr>
            <w:tcW w:type="dxa" w:w="3360"/>
          </w:tcPr>
          <w:p>
            <w:r>
              <w:rPr>
                <w:sz w:val="18"/>
                <w:szCs w:val="18"/>
              </w:rPr>
              <w:t xml:space="preserve">491</w:t>
            </w:r>
          </w:p>
        </w:tc>
        <w:tc>
          <w:tcPr>
            <w:tcW w:type="dxa" w:w="3360"/>
          </w:tcPr>
          <w:p>
            <w:r>
              <w:rPr>
                <w:sz w:val="18"/>
                <w:szCs w:val="18"/>
              </w:rPr>
              <w:t xml:space="preserve">0.029</w:t>
            </w:r>
          </w:p>
        </w:tc>
      </w:tr>
    </w:tbl>
    <w:p>
      <w:pPr>
        <w:spacing w:after="150"/>
      </w:pPr>
      <w:r>
        <w:t xml:space="preserve">ANOVA: F = 2.384, p = 0.0493. The Tukey post-hoc test, which compares each pair of days while controlling for multiple comparisons, found no pair with a significant difference. The closest was Monday against Tuesday (difference 0.18 percentage points, adjusted p = 0.062).</w:t>
      </w:r>
    </w:p>
    <w:p>
      <w:pPr>
        <w:spacing w:after="60" w:before="15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24175"/>
                    </a:xfrm>
                    <a:prstGeom prst="rect">
                      <a:avLst/>
                    </a:prstGeom>
                  </pic:spPr>
                </pic:pic>
              </a:graphicData>
            </a:graphic>
          </wp:inline>
        </w:drawing>
      </w:r>
    </w:p>
    <w:p>
      <w:pPr>
        <w:spacing w:after="250"/>
        <w:jc w:val="center"/>
      </w:pPr>
      <w:r>
        <w:rPr>
          <w:i/>
          <w:iCs/>
          <w:color w:val="555555"/>
          <w:sz w:val="18"/>
          <w:szCs w:val="18"/>
        </w:rPr>
        <w:t xml:space="preserve">Figure 3: Daily returns by weekday</w:t>
      </w:r>
    </w:p>
    <w:p>
      <w:pPr>
        <w:spacing w:after="150"/>
      </w:pPr>
      <w:r>
        <w:t xml:space="preserve">Note: the data contains one Saturday, 1 February 2025, when NSE held a special Union Budget trading session. It has a single observation, is not part of the ANOVA (Monday to Friday only) and appears as an empty box in Figure 3 and as extra rows in the Tukey table.</w:t>
      </w:r>
    </w:p>
    <w:p>
      <w:pPr>
        <w:pStyle w:val="Heading2"/>
        <w:spacing w:after="120" w:before="250"/>
      </w:pPr>
      <w:r>
        <w:t xml:space="preserve">5.3 Robustness Checks</w:t>
      </w:r>
    </w:p>
    <w:p>
      <w:pPr>
        <w:spacing w:after="150"/>
      </w:pPr>
      <w:r>
        <w:t xml:space="preserve">Because the ANOVA p-value is so close to the 0.05 line, two further checks were run to see whether the result is solid: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stats.kruskal(*weekday_groups)                        # rank-based, no normality needed</w:t>
      </w:r>
      <w:r>
        <w:rPr>
          <w:rFonts w:ascii="Consolas" w:cs="Consolas" w:eastAsia="Consolas" w:hAnsi="Consolas"/>
          <w:sz w:val="18"/>
          <w:szCs w:val="18"/>
        </w:rPr>
        <w:br/>
        <w:t xml:space="preserve"># repeat the ANOVA with 2020 removed</w:t>
      </w:r>
      <w:r>
        <w:rPr>
          <w:rFonts w:ascii="Consolas" w:cs="Consolas" w:eastAsia="Consolas" w:hAnsi="Consolas"/>
          <w:sz w:val="18"/>
          <w:szCs w:val="18"/>
        </w:rPr>
        <w:br/>
        <w:t xml:space="preserve">no2020 = df[df["Year"] != 2020]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80"/>
        <w:gridCol w:w="3500"/>
      </w:tblGrid>
      <w:tr>
        <w:tc>
          <w:tcPr>
            <w:tcW w:type="dxa" w:w="6580"/>
            <w:shd w:fill="2E5395" w:val="clear"/>
          </w:tcPr>
          <w:p>
            <w:r>
              <w:rPr>
                <w:b/>
                <w:bCs/>
                <w:color w:val="FFFFFF"/>
                <w:sz w:val="18"/>
                <w:szCs w:val="18"/>
              </w:rPr>
              <w:t xml:space="preserve">Version of the test</w:t>
            </w:r>
          </w:p>
        </w:tc>
        <w:tc>
          <w:tcPr>
            <w:tcW w:type="dxa" w:w="3500"/>
            <w:shd w:fill="2E5395" w:val="clear"/>
          </w:tcPr>
          <w:p>
            <w:r>
              <w:rPr>
                <w:b/>
                <w:bCs/>
                <w:color w:val="FFFFFF"/>
                <w:sz w:val="18"/>
                <w:szCs w:val="18"/>
              </w:rPr>
              <w:t xml:space="preserve">p-value</w:t>
            </w:r>
          </w:p>
        </w:tc>
      </w:tr>
      <w:tr>
        <w:tc>
          <w:tcPr>
            <w:tcW w:type="dxa" w:w="6580"/>
          </w:tcPr>
          <w:p>
            <w:r>
              <w:rPr>
                <w:sz w:val="18"/>
                <w:szCs w:val="18"/>
              </w:rPr>
              <w:t xml:space="preserve">One-way ANOVA, all years (above)</w:t>
            </w:r>
          </w:p>
        </w:tc>
        <w:tc>
          <w:tcPr>
            <w:tcW w:type="dxa" w:w="3500"/>
          </w:tcPr>
          <w:p>
            <w:r>
              <w:rPr>
                <w:sz w:val="18"/>
                <w:szCs w:val="18"/>
              </w:rPr>
              <w:t xml:space="preserve">0.049</w:t>
            </w:r>
          </w:p>
        </w:tc>
      </w:tr>
      <w:tr>
        <w:tc>
          <w:tcPr>
            <w:tcW w:type="dxa" w:w="6580"/>
          </w:tcPr>
          <w:p>
            <w:r>
              <w:rPr>
                <w:sz w:val="18"/>
                <w:szCs w:val="18"/>
              </w:rPr>
              <w:t xml:space="preserve">Kruskal-Wallis (rank-based), all years</w:t>
            </w:r>
          </w:p>
        </w:tc>
        <w:tc>
          <w:tcPr>
            <w:tcW w:type="dxa" w:w="3500"/>
          </w:tcPr>
          <w:p>
            <w:r>
              <w:rPr>
                <w:sz w:val="18"/>
                <w:szCs w:val="18"/>
              </w:rPr>
              <w:t xml:space="preserve">0.391</w:t>
            </w:r>
          </w:p>
        </w:tc>
      </w:tr>
      <w:tr>
        <w:tc>
          <w:tcPr>
            <w:tcW w:type="dxa" w:w="6580"/>
          </w:tcPr>
          <w:p>
            <w:r>
              <w:rPr>
                <w:sz w:val="18"/>
                <w:szCs w:val="18"/>
              </w:rPr>
              <w:t xml:space="preserve">One-way ANOVA, excluding 2020</w:t>
            </w:r>
          </w:p>
        </w:tc>
        <w:tc>
          <w:tcPr>
            <w:tcW w:type="dxa" w:w="3500"/>
          </w:tcPr>
          <w:p>
            <w:r>
              <w:rPr>
                <w:sz w:val="18"/>
                <w:szCs w:val="18"/>
              </w:rPr>
              <w:t xml:space="preserve">0.355</w:t>
            </w:r>
          </w:p>
        </w:tc>
      </w:tr>
    </w:tbl>
    <w:p>
      <w:pPr>
        <w:pStyle w:val="Heading2"/>
        <w:spacing w:after="120" w:before="250"/>
      </w:pPr>
      <w:r>
        <w:t xml:space="preserve">5.4 Interpretation</w:t>
      </w:r>
    </w:p>
    <w:p>
      <w:pPr>
        <w:spacing w:after="150"/>
      </w:pPr>
      <w:r>
        <w:t xml:space="preserve">Strictly at the 5% level, the ANOVA rejects H0. But this is weak evidence. The p-value barely clears the threshold, no individual pair of days is significantly different in the post-hoc test, the rank-based test is nowhere near significant (p = 0.39), and removing the extreme year 2020 raises the ANOVA p-value to 0.36. The pattern suggests that the borderline result is driven by a few extreme days (for example the 23 March 2020 crash, which fell on a Monday) rather than a consistent weekday pattern. The reasonable conclusion is that no reliable day-of-week effect has been established, and none that could be used for trading.</w:t>
      </w:r>
    </w:p>
    <w:p>
      <w:pPr>
        <w:pStyle w:val="Heading1"/>
        <w:spacing w:after="150" w:before="300"/>
      </w:pPr>
      <w:r>
        <w:t xml:space="preserve">6. Hypothesis 4: Is Trading Volume Related to the Size of Price Moves?</w:t>
      </w:r>
    </w:p>
    <w:p>
      <w:pPr>
        <w:pStyle w:val="Heading2"/>
        <w:spacing w:after="120" w:before="250"/>
      </w:pPr>
      <w:r>
        <w:t xml:space="preserve">6.1 Hypotheses</w:t>
      </w:r>
    </w:p>
    <w:p>
      <w:pPr>
        <w:spacing w:after="150"/>
      </w:pPr>
      <w:r>
        <w:t xml:space="preserve">H0: there is no linear correlation between daily volume and the absolute daily return. H1: there is a correlation.</w:t>
      </w:r>
    </w:p>
    <w:p>
      <w:pPr>
        <w:pStyle w:val="Heading2"/>
        <w:spacing w:after="120" w:before="250"/>
      </w:pPr>
      <w:r>
        <w:t xml:space="preserve">6.2 Method and Result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sub = df.dropna(subset=["Volume", "Abs_Return"])      # excludes the 28 recoded days</w:t>
      </w:r>
      <w:r>
        <w:rPr>
          <w:rFonts w:ascii="Consolas" w:cs="Consolas" w:eastAsia="Consolas" w:hAnsi="Consolas"/>
          <w:sz w:val="18"/>
          <w:szCs w:val="18"/>
        </w:rPr>
        <w:br/>
        <w:t xml:space="preserve">corr, p_value4 = stats.pearsonr(sub["Volume"], sub["Abs_Return"])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2E5395" w:val="clear"/>
          </w:tcPr>
          <w:p>
            <w:r>
              <w:rPr>
                <w:b/>
                <w:bCs/>
                <w:color w:val="FFFFFF"/>
                <w:sz w:val="18"/>
                <w:szCs w:val="18"/>
              </w:rPr>
              <w:t xml:space="preserve">Statistic</w:t>
            </w:r>
          </w:p>
        </w:tc>
        <w:tc>
          <w:tcPr>
            <w:tcW w:type="dxa" w:w="5040"/>
            <w:shd w:fill="2E5395" w:val="clear"/>
          </w:tcPr>
          <w:p>
            <w:r>
              <w:rPr>
                <w:b/>
                <w:bCs/>
                <w:color w:val="FFFFFF"/>
                <w:sz w:val="18"/>
                <w:szCs w:val="18"/>
              </w:rPr>
              <w:t xml:space="preserve">Value</w:t>
            </w:r>
          </w:p>
        </w:tc>
      </w:tr>
      <w:tr>
        <w:tc>
          <w:tcPr>
            <w:tcW w:type="dxa" w:w="5040"/>
          </w:tcPr>
          <w:p>
            <w:r>
              <w:rPr>
                <w:sz w:val="18"/>
                <w:szCs w:val="18"/>
              </w:rPr>
              <w:t xml:space="preserve">Sample size</w:t>
            </w:r>
          </w:p>
        </w:tc>
        <w:tc>
          <w:tcPr>
            <w:tcW w:type="dxa" w:w="5040"/>
          </w:tcPr>
          <w:p>
            <w:r>
              <w:rPr>
                <w:sz w:val="18"/>
                <w:szCs w:val="18"/>
              </w:rPr>
              <w:t xml:space="preserve">2,454 days</w:t>
            </w:r>
          </w:p>
        </w:tc>
      </w:tr>
      <w:tr>
        <w:tc>
          <w:tcPr>
            <w:tcW w:type="dxa" w:w="5040"/>
          </w:tcPr>
          <w:p>
            <w:r>
              <w:rPr>
                <w:sz w:val="18"/>
                <w:szCs w:val="18"/>
              </w:rPr>
              <w:t xml:space="preserve">Pearson correlation r</w:t>
            </w:r>
          </w:p>
        </w:tc>
        <w:tc>
          <w:tcPr>
            <w:tcW w:type="dxa" w:w="5040"/>
          </w:tcPr>
          <w:p>
            <w:r>
              <w:rPr>
                <w:sz w:val="18"/>
                <w:szCs w:val="18"/>
              </w:rPr>
              <w:t xml:space="preserve">0.371</w:t>
            </w:r>
          </w:p>
        </w:tc>
      </w:tr>
      <w:tr>
        <w:tc>
          <w:tcPr>
            <w:tcW w:type="dxa" w:w="5040"/>
          </w:tcPr>
          <w:p>
            <w:r>
              <w:rPr>
                <w:sz w:val="18"/>
                <w:szCs w:val="18"/>
              </w:rPr>
              <w:t xml:space="preserve">p-value</w:t>
            </w:r>
          </w:p>
        </w:tc>
        <w:tc>
          <w:tcPr>
            <w:tcW w:type="dxa" w:w="5040"/>
          </w:tcPr>
          <w:p>
            <w:r>
              <w:rPr>
                <w:sz w:val="18"/>
                <w:szCs w:val="18"/>
              </w:rPr>
              <w:t xml:space="preserve">7.6e-81</w:t>
            </w:r>
          </w:p>
        </w:tc>
      </w:tr>
      <w:tr>
        <w:tc>
          <w:tcPr>
            <w:tcW w:type="dxa" w:w="5040"/>
          </w:tcPr>
          <w:p>
            <w:r>
              <w:rPr>
                <w:sz w:val="18"/>
                <w:szCs w:val="18"/>
              </w:rPr>
              <w:t xml:space="preserve">Shared variation (r squared)</w:t>
            </w:r>
          </w:p>
        </w:tc>
        <w:tc>
          <w:tcPr>
            <w:tcW w:type="dxa" w:w="5040"/>
          </w:tcPr>
          <w:p>
            <w:r>
              <w:rPr>
                <w:sz w:val="18"/>
                <w:szCs w:val="18"/>
              </w:rPr>
              <w:t xml:space="preserve">about 14%</w:t>
            </w:r>
          </w:p>
        </w:tc>
      </w:tr>
    </w:tbl>
    <w:p>
      <w:pPr>
        <w:spacing w:after="60" w:before="150"/>
        <w:jc w:val="center"/>
      </w:pPr>
      <w:r>
        <w:drawing>
          <wp:inline distT="0" distB="0" distL="0" distR="0">
            <wp:extent cx="4572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62275"/>
                    </a:xfrm>
                    <a:prstGeom prst="rect">
                      <a:avLst/>
                    </a:prstGeom>
                  </pic:spPr>
                </pic:pic>
              </a:graphicData>
            </a:graphic>
          </wp:inline>
        </w:drawing>
      </w:r>
    </w:p>
    <w:p>
      <w:pPr>
        <w:spacing w:after="250"/>
        <w:jc w:val="center"/>
      </w:pPr>
      <w:r>
        <w:rPr>
          <w:i/>
          <w:iCs/>
          <w:color w:val="555555"/>
          <w:sz w:val="18"/>
          <w:szCs w:val="18"/>
        </w:rPr>
        <w:t xml:space="preserve">Figure 4: Daily volume against absolute daily return</w:t>
      </w:r>
    </w:p>
    <w:p>
      <w:pPr>
        <w:pStyle w:val="Heading2"/>
        <w:spacing w:after="120" w:before="250"/>
      </w:pPr>
      <w:r>
        <w:t xml:space="preserve">6.3 Interpretation</w:t>
      </w:r>
    </w:p>
    <w:p>
      <w:pPr>
        <w:spacing w:after="150"/>
      </w:pPr>
      <w:r>
        <w:t xml:space="preserve">H0 is rejected. There is a moderate positive relationship: days with heavier volume tend to be days with larger price moves, which fits the intuition that fear and excitement raise both trading activity and price swings. Volume explains only about 14% of the variation in the size of moves, so it is a useful clue and not a predictor. The scatter plot also shows that the relationship is driven by a minority of high-volume days. A rank-based check (Spearman) gives a weaker correlation of about 0.26, which is still clearly positive, so the conclusion holds. Because Yahoo's index volume is not official NSE volume, the figure should be read as indicative.</w:t>
      </w:r>
    </w:p>
    <w:p>
      <w:pPr>
        <w:pStyle w:val="Heading1"/>
        <w:spacing w:after="150" w:before="300"/>
      </w:pPr>
      <w:r>
        <w:t xml:space="preserve">7. Summary of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c>
          <w:tcPr>
            <w:tcW w:type="dxa" w:w="3200"/>
            <w:shd w:fill="2E5395" w:val="clear"/>
          </w:tcPr>
          <w:p>
            <w:r>
              <w:rPr>
                <w:b/>
                <w:bCs/>
                <w:color w:val="FFFFFF"/>
                <w:sz w:val="18"/>
                <w:szCs w:val="18"/>
              </w:rPr>
              <w:t xml:space="preserve">Hypothesis</w:t>
            </w:r>
          </w:p>
        </w:tc>
        <w:tc>
          <w:tcPr>
            <w:tcW w:type="dxa" w:w="2400"/>
            <w:shd w:fill="2E5395" w:val="clear"/>
          </w:tcPr>
          <w:p>
            <w:r>
              <w:rPr>
                <w:b/>
                <w:bCs/>
                <w:color w:val="FFFFFF"/>
                <w:sz w:val="18"/>
                <w:szCs w:val="18"/>
              </w:rPr>
              <w:t xml:space="preserve">Result</w:t>
            </w:r>
          </w:p>
        </w:tc>
        <w:tc>
          <w:tcPr>
            <w:tcW w:type="dxa" w:w="4480"/>
            <w:shd w:fill="2E5395" w:val="clear"/>
          </w:tcPr>
          <w:p>
            <w:r>
              <w:rPr>
                <w:b/>
                <w:bCs/>
                <w:color w:val="FFFFFF"/>
                <w:sz w:val="18"/>
                <w:szCs w:val="18"/>
              </w:rPr>
              <w:t xml:space="preserve">Conclusion</w:t>
            </w:r>
          </w:p>
        </w:tc>
      </w:tr>
      <w:tr>
        <w:tc>
          <w:tcPr>
            <w:tcW w:type="dxa" w:w="3200"/>
          </w:tcPr>
          <w:p>
            <w:r>
              <w:rPr>
                <w:sz w:val="18"/>
                <w:szCs w:val="18"/>
              </w:rPr>
              <w:t xml:space="preserve">H1: mean return differs from 0</w:t>
            </w:r>
          </w:p>
        </w:tc>
        <w:tc>
          <w:tcPr>
            <w:tcW w:type="dxa" w:w="2400"/>
          </w:tcPr>
          <w:p>
            <w:r>
              <w:rPr>
                <w:sz w:val="18"/>
                <w:szCs w:val="18"/>
              </w:rPr>
              <w:t xml:space="preserve">p = 0.018</w:t>
            </w:r>
          </w:p>
        </w:tc>
        <w:tc>
          <w:tcPr>
            <w:tcW w:type="dxa" w:w="4480"/>
          </w:tcPr>
          <w:p>
            <w:r>
              <w:rPr>
                <w:sz w:val="18"/>
                <w:szCs w:val="18"/>
              </w:rPr>
              <w:t xml:space="preserve">Reject H0: small positive drift (0.048% a day)</w:t>
            </w:r>
          </w:p>
        </w:tc>
      </w:tr>
      <w:tr>
        <w:tc>
          <w:tcPr>
            <w:tcW w:type="dxa" w:w="3200"/>
          </w:tcPr>
          <w:p>
            <w:r>
              <w:rPr>
                <w:sz w:val="18"/>
                <w:szCs w:val="18"/>
              </w:rPr>
              <w:t xml:space="preserve">H2: 2020 more volatile</w:t>
            </w:r>
          </w:p>
        </w:tc>
        <w:tc>
          <w:tcPr>
            <w:tcW w:type="dxa" w:w="2400"/>
          </w:tcPr>
          <w:p>
            <w:r>
              <w:rPr>
                <w:sz w:val="18"/>
                <w:szCs w:val="18"/>
              </w:rPr>
              <w:t xml:space="preserve">p &lt; 0.001</w:t>
            </w:r>
          </w:p>
        </w:tc>
        <w:tc>
          <w:tcPr>
            <w:tcW w:type="dxa" w:w="4480"/>
          </w:tcPr>
          <w:p>
            <w:r>
              <w:rPr>
                <w:sz w:val="18"/>
                <w:szCs w:val="18"/>
              </w:rPr>
              <w:t xml:space="preserve">Reject H0: spread about 2.6 times larger</w:t>
            </w:r>
          </w:p>
        </w:tc>
      </w:tr>
      <w:tr>
        <w:tc>
          <w:tcPr>
            <w:tcW w:type="dxa" w:w="3200"/>
          </w:tcPr>
          <w:p>
            <w:r>
              <w:rPr>
                <w:sz w:val="18"/>
                <w:szCs w:val="18"/>
              </w:rPr>
              <w:t xml:space="preserve">H3: weekday effect</w:t>
            </w:r>
          </w:p>
        </w:tc>
        <w:tc>
          <w:tcPr>
            <w:tcW w:type="dxa" w:w="2400"/>
          </w:tcPr>
          <w:p>
            <w:r>
              <w:rPr>
                <w:sz w:val="18"/>
                <w:szCs w:val="18"/>
              </w:rPr>
              <w:t xml:space="preserve">p = 0.049 (fragile)</w:t>
            </w:r>
          </w:p>
        </w:tc>
        <w:tc>
          <w:tcPr>
            <w:tcW w:type="dxa" w:w="4480"/>
          </w:tcPr>
          <w:p>
            <w:r>
              <w:rPr>
                <w:sz w:val="18"/>
                <w:szCs w:val="18"/>
              </w:rPr>
              <w:t xml:space="preserve">Borderline; no robust effect established</w:t>
            </w:r>
          </w:p>
        </w:tc>
      </w:tr>
      <w:tr>
        <w:tc>
          <w:tcPr>
            <w:tcW w:type="dxa" w:w="3200"/>
          </w:tcPr>
          <w:p>
            <w:r>
              <w:rPr>
                <w:sz w:val="18"/>
                <w:szCs w:val="18"/>
              </w:rPr>
              <w:t xml:space="preserve">H4: volume and price moves</w:t>
            </w:r>
          </w:p>
        </w:tc>
        <w:tc>
          <w:tcPr>
            <w:tcW w:type="dxa" w:w="2400"/>
          </w:tcPr>
          <w:p>
            <w:r>
              <w:rPr>
                <w:sz w:val="18"/>
                <w:szCs w:val="18"/>
              </w:rPr>
              <w:t xml:space="preserve">p &lt; 0.001</w:t>
            </w:r>
          </w:p>
        </w:tc>
        <w:tc>
          <w:tcPr>
            <w:tcW w:type="dxa" w:w="4480"/>
          </w:tcPr>
          <w:p>
            <w:r>
              <w:rPr>
                <w:sz w:val="18"/>
                <w:szCs w:val="18"/>
              </w:rPr>
              <w:t xml:space="preserve">Reject H0: moderate positive link (r = 0.37)</w:t>
            </w:r>
          </w:p>
        </w:tc>
      </w:tr>
    </w:tbl>
    <w:p>
      <w:pPr>
        <w:pStyle w:val="Heading1"/>
        <w:spacing w:after="150" w:before="300"/>
      </w:pPr>
      <w:r>
        <w:t xml:space="preserve">8. Validity and Limitations</w:t>
      </w:r>
    </w:p>
    <w:p>
      <w:pPr>
        <w:pStyle w:val="ListParagraph"/>
        <w:numPr>
          <w:ilvl w:val="0"/>
          <w:numId w:val="1"/>
        </w:numPr>
        <w:spacing w:after="80"/>
      </w:pPr>
      <w:r>
        <w:t xml:space="preserve">Independence: daily returns are not strictly independent, because volatility clusters (Week 2). Standard test p-values are therefore approximate, particularly for H1.</w:t>
      </w:r>
    </w:p>
    <w:p>
      <w:pPr>
        <w:pStyle w:val="ListParagraph"/>
        <w:numPr>
          <w:ilvl w:val="0"/>
          <w:numId w:val="1"/>
        </w:numPr>
        <w:spacing w:after="80"/>
      </w:pPr>
      <w:r>
        <w:t xml:space="preserve">Choice of groups in H2: 2020 and 2017 to 2019 were chosen from prior knowledge of the data, not by a formal change-point method, and 2021 onwards was not used as a comparison.</w:t>
      </w:r>
    </w:p>
    <w:p>
      <w:pPr>
        <w:pStyle w:val="ListParagraph"/>
        <w:numPr>
          <w:ilvl w:val="0"/>
          <w:numId w:val="1"/>
        </w:numPr>
        <w:spacing w:after="80"/>
      </w:pPr>
      <w:r>
        <w:t xml:space="preserve">Multiple testing: four hypotheses were tested at 0.05, so one borderline result (H3) should not be over-interpreted.</w:t>
      </w:r>
    </w:p>
    <w:p>
      <w:pPr>
        <w:pStyle w:val="ListParagraph"/>
        <w:numPr>
          <w:ilvl w:val="0"/>
          <w:numId w:val="1"/>
        </w:numPr>
        <w:spacing w:after="80"/>
      </w:pPr>
      <w:r>
        <w:t xml:space="preserve">Normality: returns are fat-tailed (Week 1), which is why a rank-based check was added for H3 and H4.</w:t>
      </w:r>
    </w:p>
    <w:p>
      <w:pPr>
        <w:pStyle w:val="ListParagraph"/>
        <w:numPr>
          <w:ilvl w:val="0"/>
          <w:numId w:val="1"/>
        </w:numPr>
        <w:spacing w:after="80"/>
      </w:pPr>
      <w:r>
        <w:t xml:space="preserve">Data: Yahoo index volume is an imperfect measure of trading activity.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8d948eee9063cdf85bb22e39c330925b6c0dca.png"/><Relationship Id="rId8" Type="http://schemas.openxmlformats.org/officeDocument/2006/relationships/image" Target="media/7698cad3ada49d3437216e08ef89d10aa34f5c73.png"/><Relationship Id="rId9" Type="http://schemas.openxmlformats.org/officeDocument/2006/relationships/image" Target="media/ef40e8208972604dd2510683207b961b091549c1.png"/><Relationship Id="rId10" Type="http://schemas.openxmlformats.org/officeDocument/2006/relationships/image" Target="media/a37b79c959da3d016ecb47a8b10d1cd1bfb2b7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2026-10-23T13:50:35.458Z</dcterms:created>
  <dcterms:modified xsi:type="dcterms:W3CDTF">2026-10-23T13:50:35.458Z</dcterms:modified>
</cp:coreProperties>
</file>

<file path=docProps/custom.xml><?xml version="1.0" encoding="utf-8"?>
<Properties xmlns="http://schemas.openxmlformats.org/officeDocument/2006/custom-properties" xmlns:vt="http://schemas.openxmlformats.org/officeDocument/2006/docPropsVTypes"/>
</file>