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3BCE" w14:textId="77777777" w:rsidR="007A09A5" w:rsidRDefault="00000000">
      <w:pPr>
        <w:pStyle w:val="Title"/>
        <w:spacing w:after="200"/>
      </w:pPr>
      <w:r>
        <w:t>Week 2: Advanced Data Visualization &amp; Storytelling</w:t>
      </w:r>
    </w:p>
    <w:p w14:paraId="208C4AAB" w14:textId="77777777" w:rsidR="007A09A5" w:rsidRDefault="00000000">
      <w:pPr>
        <w:spacing w:after="400"/>
      </w:pPr>
      <w:r>
        <w:rPr>
          <w:i/>
          <w:iCs/>
          <w:sz w:val="24"/>
          <w:szCs w:val="24"/>
        </w:rPr>
        <w:t>Domain: Financial Markets — NIFTY 50 Index (2007-2026)</w:t>
      </w:r>
    </w:p>
    <w:p w14:paraId="41194D46" w14:textId="47609790" w:rsidR="007A09A5" w:rsidRDefault="00000000">
      <w:pPr>
        <w:spacing w:after="150"/>
      </w:pPr>
      <w:r>
        <w:t>Author: Paras</w:t>
      </w:r>
      <w:r w:rsidR="0000233E">
        <w:t xml:space="preserve"> Nainwal</w:t>
      </w:r>
    </w:p>
    <w:p w14:paraId="02B65764" w14:textId="77777777" w:rsidR="007A09A5" w:rsidRDefault="00000000">
      <w:pPr>
        <w:spacing w:after="150"/>
      </w:pPr>
      <w:r>
        <w:t>Date: August 2026</w:t>
      </w:r>
    </w:p>
    <w:p w14:paraId="28434C74" w14:textId="77777777" w:rsidR="007A09A5" w:rsidRDefault="00000000">
      <w:pPr>
        <w:spacing w:after="150"/>
      </w:pPr>
      <w:r>
        <w:t>Tools: Python (Matplotlib, Seaborn, SciPy)</w:t>
      </w:r>
    </w:p>
    <w:p w14:paraId="38D8CFAA" w14:textId="77777777" w:rsidR="007A09A5" w:rsidRDefault="00000000">
      <w:r>
        <w:br w:type="page"/>
      </w:r>
    </w:p>
    <w:p w14:paraId="70A38F36" w14:textId="77777777" w:rsidR="007A09A5" w:rsidRDefault="00000000">
      <w:pPr>
        <w:pStyle w:val="Heading1"/>
        <w:spacing w:before="300" w:after="150"/>
      </w:pPr>
      <w:r>
        <w:lastRenderedPageBreak/>
        <w:t>1. Introduction</w:t>
      </w:r>
    </w:p>
    <w:p w14:paraId="4DB9FE62" w14:textId="77777777" w:rsidR="007A09A5" w:rsidRDefault="00000000">
      <w:pPr>
        <w:spacing w:after="150"/>
      </w:pPr>
      <w:r>
        <w:t>This report builds a visual narrative around the NIFTY 50 index dataset introduced in Week 1 (4,554 trading days, 2007-2026). Rather than presenting isolated charts, the goal is to walk a non-technical reader — for example, a retail investor deciding how to think about market risk — through a coherent story: how the index has grown, how risky that growth has actually been along the way, and when that risk shows up.</w:t>
      </w:r>
    </w:p>
    <w:p w14:paraId="7360C180" w14:textId="77777777" w:rsidR="007A09A5" w:rsidRDefault="00000000">
      <w:pPr>
        <w:pStyle w:val="Heading1"/>
        <w:spacing w:before="300" w:after="150"/>
      </w:pPr>
      <w:r>
        <w:t>2. Methods</w:t>
      </w:r>
    </w:p>
    <w:p w14:paraId="61EC4BC7" w14:textId="77777777" w:rsidR="007A09A5" w:rsidRDefault="00000000">
      <w:pPr>
        <w:spacing w:after="150"/>
      </w:pPr>
      <w:r>
        <w:t>Six visualizations were built, each chosen for a specific narrative purpose: an annotated line chart for the headline growth story, a rolling-window line chart for time-varying risk, a color-coded bar chart for year-by-year performance, a filled area ("underwater") chart for drawdown depth and duration, a heatmap for month-by-month seasonality, and a distribution overlay for tail-risk behavior. All charts were built in Matplotlib/Seaborn on the cleaned dataset from Week 1.</w:t>
      </w:r>
    </w:p>
    <w:p w14:paraId="4123E9EF" w14:textId="77777777" w:rsidR="007A09A5" w:rsidRDefault="00000000">
      <w:pPr>
        <w:pStyle w:val="Heading1"/>
        <w:spacing w:before="300" w:after="150"/>
      </w:pPr>
      <w:r>
        <w:t>3. Visual Narrative</w:t>
      </w:r>
    </w:p>
    <w:p w14:paraId="19D24B18" w14:textId="77777777" w:rsidR="007A09A5" w:rsidRDefault="00000000">
      <w:pPr>
        <w:pStyle w:val="Heading2"/>
        <w:spacing w:before="250" w:after="120"/>
      </w:pPr>
      <w:r>
        <w:t>3.1 Chapter One: The Headline Story — Long-Term Growth</w:t>
      </w:r>
    </w:p>
    <w:p w14:paraId="3397A652" w14:textId="77777777" w:rsidR="007A09A5" w:rsidRDefault="00000000">
      <w:pPr>
        <w:spacing w:after="150"/>
      </w:pPr>
      <w:r>
        <w:t xml:space="preserve">The story opens with the number every investor </w:t>
      </w:r>
      <w:proofErr w:type="gramStart"/>
      <w:r>
        <w:t>cares</w:t>
      </w:r>
      <w:proofErr w:type="gramEnd"/>
      <w:r>
        <w:t xml:space="preserve"> about first: did the index go up? The chart below plots the full 18.5-year closing price series, with the two defining crash events labeled directly on the chart.</w:t>
      </w:r>
    </w:p>
    <w:p w14:paraId="5BD46005" w14:textId="77777777" w:rsidR="007A09A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79DC1AA6" wp14:editId="0BF75595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7D8C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1: NIFTY 50 long-term growth trajectory, annotated with major crash events</w:t>
      </w:r>
    </w:p>
    <w:p w14:paraId="79016CFA" w14:textId="77777777" w:rsidR="007A09A5" w:rsidRDefault="00000000">
      <w:pPr>
        <w:spacing w:after="150"/>
      </w:pPr>
      <w:r>
        <w:t>The headline answer is yes — decisively — but the annotations immediately raise the next question the story needs to answer: growth doesn't mean smooth growth. What did the ride actually feel like along the way?</w:t>
      </w:r>
    </w:p>
    <w:p w14:paraId="46BE9C3F" w14:textId="77777777" w:rsidR="007A09A5" w:rsidRDefault="00000000">
      <w:pPr>
        <w:pStyle w:val="Heading2"/>
        <w:spacing w:before="250" w:after="120"/>
      </w:pPr>
      <w:r>
        <w:t>3.2 Chapter Two: How Risky Was That Ride, and When?</w:t>
      </w:r>
    </w:p>
    <w:p w14:paraId="197CE63F" w14:textId="77777777" w:rsidR="007A09A5" w:rsidRDefault="00000000">
      <w:pPr>
        <w:spacing w:after="150"/>
      </w:pPr>
      <w:r>
        <w:t>Total growth hides a huge amount of variation in day-to-day risk. The rolling 30-day annualized volatility chart makes that variation visible over time rather than collapsing it into a single average.</w:t>
      </w:r>
    </w:p>
    <w:p w14:paraId="6799ABB1" w14:textId="77777777" w:rsidR="007A09A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2A9AF199" wp14:editId="15334477">
            <wp:extent cx="5334000" cy="2857500"/>
            <wp:effectExtent l="0" t="0" r="0" b="0"/>
            <wp:docPr id="601534973" name="Picture 601534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96F8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2: Rolling 30-day annualized volatility over the full period</w:t>
      </w:r>
    </w:p>
    <w:p w14:paraId="341870A0" w14:textId="77777777" w:rsidR="007A09A5" w:rsidRDefault="00000000">
      <w:pPr>
        <w:spacing w:after="150"/>
      </w:pPr>
      <w:r>
        <w:t>Volatility is not constant — it spikes sharply around 2008 and again in March 2020, then decays back toward a low baseline. This is the core insight of the whole story: risk in equity markets comes in clusters, not as a steady background hum.</w:t>
      </w:r>
    </w:p>
    <w:p w14:paraId="28A57D5F" w14:textId="77777777" w:rsidR="007A09A5" w:rsidRDefault="00000000">
      <w:pPr>
        <w:pStyle w:val="Heading2"/>
        <w:spacing w:before="250" w:after="120"/>
      </w:pPr>
      <w:r>
        <w:t>3.3 Chapter Three: Which Years Actually Delivered?</w:t>
      </w:r>
    </w:p>
    <w:p w14:paraId="6FC777C8" w14:textId="77777777" w:rsidR="007A09A5" w:rsidRDefault="00000000">
      <w:pPr>
        <w:spacing w:after="150"/>
      </w:pPr>
      <w:r>
        <w:t>Zooming from daily detail out to yearly summaries makes the story easier to act on: was any given calendar year a good one to be invested?</w:t>
      </w:r>
    </w:p>
    <w:p w14:paraId="524B1E6E" w14:textId="77777777" w:rsidR="007A09A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6AD64073" wp14:editId="387376F6">
            <wp:extent cx="5334000" cy="3048000"/>
            <wp:effectExtent l="0" t="0" r="0" b="0"/>
            <wp:docPr id="1348290463" name="Picture 134829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35A8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3: NIFTY 50 calendar-year returns, green for positive, red for negative</w:t>
      </w:r>
    </w:p>
    <w:p w14:paraId="42A643C0" w14:textId="77777777" w:rsidR="007A09A5" w:rsidRDefault="00000000">
      <w:pPr>
        <w:spacing w:after="150"/>
      </w:pPr>
      <w:r>
        <w:t>Losing years are rarer than winning years, but when they occur (2008, 2011, 2015, 2018, 2020) they tend to line up with the volatility spikes already seen in Figure 2 — reinforcing that the story of risk and the story of losses are really the same story told two ways.</w:t>
      </w:r>
    </w:p>
    <w:p w14:paraId="7F81EECB" w14:textId="77777777" w:rsidR="007A09A5" w:rsidRDefault="00000000">
      <w:pPr>
        <w:pStyle w:val="Heading2"/>
        <w:spacing w:before="250" w:after="120"/>
      </w:pPr>
      <w:r>
        <w:t>3.4 Chapter Four: How Deep — and How Long — Were the Losses?</w:t>
      </w:r>
    </w:p>
    <w:p w14:paraId="36B2DDFA" w14:textId="77777777" w:rsidR="007A09A5" w:rsidRDefault="00000000">
      <w:pPr>
        <w:spacing w:after="150"/>
      </w:pPr>
      <w:r>
        <w:lastRenderedPageBreak/>
        <w:t xml:space="preserve">A drawdown chart answers a </w:t>
      </w:r>
      <w:proofErr w:type="gramStart"/>
      <w:r>
        <w:t>question yearly returns</w:t>
      </w:r>
      <w:proofErr w:type="gramEnd"/>
      <w:r>
        <w:t xml:space="preserve"> can't: not just whether a year was negative, but how far the index fell from its prior peak, and how long it took to recover.</w:t>
      </w:r>
    </w:p>
    <w:p w14:paraId="06FA9FF5" w14:textId="77777777" w:rsidR="007A09A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40A78685" wp14:editId="75E07D45">
            <wp:extent cx="5334000" cy="3048000"/>
            <wp:effectExtent l="0" t="0" r="0" b="0"/>
            <wp:docPr id="1909724625" name="Picture 190972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2F34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4: Drawdown from all-time high, full period</w:t>
      </w:r>
    </w:p>
    <w:p w14:paraId="753AB661" w14:textId="77777777" w:rsidR="007A09A5" w:rsidRDefault="00000000">
      <w:pPr>
        <w:spacing w:after="150"/>
      </w:pPr>
      <w:r>
        <w:t>The 2008 crisis produced a drawdown of roughly -60% and took years to fully recover — by far the deepest and longest trough in the dataset. The 2020 COVID crash was nearly as deep (-38.7%) but resolved far faster, within months rather than years — a meaningfully different risk profile even though both events look similar in the yearly-returns view.</w:t>
      </w:r>
    </w:p>
    <w:p w14:paraId="687394EE" w14:textId="77777777" w:rsidR="007A09A5" w:rsidRDefault="00000000">
      <w:pPr>
        <w:pStyle w:val="Heading2"/>
        <w:spacing w:before="250" w:after="120"/>
      </w:pPr>
      <w:r>
        <w:t>3.5 Chapter Five: Is There a Seasonal Pattern?</w:t>
      </w:r>
    </w:p>
    <w:p w14:paraId="35256BAB" w14:textId="77777777" w:rsidR="007A09A5" w:rsidRDefault="00000000">
      <w:pPr>
        <w:spacing w:after="150"/>
      </w:pPr>
      <w:r>
        <w:t>The heatmap below breaks returns down by year and month simultaneously, letting a reader scan for any recurring seasonal pattern (e.g., a historically weak or strong month) at a glance.</w:t>
      </w:r>
    </w:p>
    <w:p w14:paraId="77A0469A" w14:textId="77777777" w:rsidR="007A09A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4032C1EB" wp14:editId="764625F7">
            <wp:extent cx="5334000" cy="4381500"/>
            <wp:effectExtent l="0" t="0" r="0" b="0"/>
            <wp:docPr id="1222468155" name="Picture 122246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6B9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5: Monthly returns heatmap by year</w:t>
      </w:r>
    </w:p>
    <w:p w14:paraId="488EACE2" w14:textId="77777777" w:rsidR="007A09A5" w:rsidRDefault="00000000">
      <w:pPr>
        <w:spacing w:after="150"/>
      </w:pPr>
      <w:r>
        <w:t>No consistent month stands out as reliably positive or negative across most years — red and green cells are scattered rather than forming column-wise stripes. This visual absence of a pattern is itself the finding: it argues against relying on calendar-based seasonality as an investment strategy for this index (formally tested in Week 3).</w:t>
      </w:r>
    </w:p>
    <w:p w14:paraId="248B469A" w14:textId="77777777" w:rsidR="007A09A5" w:rsidRDefault="00000000">
      <w:pPr>
        <w:pStyle w:val="Heading2"/>
        <w:spacing w:before="250" w:after="120"/>
      </w:pPr>
      <w:r>
        <w:t>3.6 Chapter Six: What Do 'Normal' Days Actually Look Like?</w:t>
      </w:r>
    </w:p>
    <w:p w14:paraId="0E203606" w14:textId="77777777" w:rsidR="007A09A5" w:rsidRDefault="00000000">
      <w:pPr>
        <w:spacing w:after="150"/>
      </w:pPr>
      <w:r>
        <w:t>The final chapter zooms back into daily behavior, comparing the actual distribution of daily returns against a theoretical normal distribution with the same mean and standard deviation.</w:t>
      </w:r>
    </w:p>
    <w:p w14:paraId="04C540E0" w14:textId="77777777" w:rsidR="007A09A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7C2B6D83" wp14:editId="2915334D">
            <wp:extent cx="4572000" cy="3048000"/>
            <wp:effectExtent l="0" t="0" r="0" b="0"/>
            <wp:docPr id="1444277299" name="Picture 1444277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89CC" w14:textId="77777777" w:rsidR="007A09A5" w:rsidRDefault="00000000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6: Daily return distribution vs. a fitted normal distribution</w:t>
      </w:r>
    </w:p>
    <w:p w14:paraId="78F12854" w14:textId="77777777" w:rsidR="007A09A5" w:rsidRDefault="00000000">
      <w:pPr>
        <w:spacing w:after="150"/>
      </w:pPr>
      <w:r>
        <w:t>The actual distribution is taller and narrower in the middle, with visibly fatter tails, than the normal curve predicts — meaning extreme up and down days happen more often in reality than a normal-distribution assumption would suggest. This closes the loop back to Chapter Two: the volatility clustering seen in Figure 2 is, in part, a direct consequence of this fat-tailed daily behavior.</w:t>
      </w:r>
    </w:p>
    <w:p w14:paraId="56A51AD2" w14:textId="77777777" w:rsidR="007A09A5" w:rsidRDefault="00000000">
      <w:pPr>
        <w:pStyle w:val="Heading1"/>
        <w:spacing w:before="300" w:after="150"/>
      </w:pPr>
      <w:r>
        <w:t>4. How the Narrative Fits Together</w:t>
      </w:r>
    </w:p>
    <w:p w14:paraId="1702D151" w14:textId="77777777" w:rsidR="007A09A5" w:rsidRDefault="00000000">
      <w:pPr>
        <w:spacing w:after="150"/>
      </w:pPr>
      <w:r>
        <w:t>Read start to finish, the six charts move from a simple growth headline (Fig. 1), to when and how much risk was actually taken on to earn that growth (Figs. 2-4), to whether that risk follows any predictable calendar pattern (Fig. 5), down to the raw statistical shape of a single trading day (Fig. 6). Each chapter answers the question the previous one raises.</w:t>
      </w:r>
    </w:p>
    <w:p w14:paraId="6224E0E6" w14:textId="77777777" w:rsidR="007A09A5" w:rsidRDefault="00000000">
      <w:pPr>
        <w:pStyle w:val="Heading1"/>
        <w:spacing w:before="300" w:after="150"/>
      </w:pPr>
      <w:r>
        <w:t>5. Business &amp; Analytical Implications</w:t>
      </w:r>
    </w:p>
    <w:p w14:paraId="3BD4B48B" w14:textId="77777777" w:rsidR="007A09A5" w:rsidRDefault="00000000">
      <w:pPr>
        <w:pStyle w:val="ListParagraph"/>
        <w:numPr>
          <w:ilvl w:val="0"/>
          <w:numId w:val="1"/>
        </w:numPr>
        <w:spacing w:after="80"/>
      </w:pPr>
      <w:r>
        <w:t>Buy-and-hold investors: the depth of the 2008 drawdown (-59.9%) versus its multi-year recovery underscores that headline long-term returns can mask periods requiring significant patience and risk tolerance.</w:t>
      </w:r>
    </w:p>
    <w:p w14:paraId="6A1EFBEE" w14:textId="77777777" w:rsidR="007A09A5" w:rsidRDefault="00000000">
      <w:pPr>
        <w:pStyle w:val="ListParagraph"/>
        <w:numPr>
          <w:ilvl w:val="0"/>
          <w:numId w:val="1"/>
        </w:numPr>
        <w:spacing w:after="80"/>
      </w:pPr>
      <w:r>
        <w:t>Risk managers: volatility clustering (Fig. 2) supports using time-varying risk models (e.g., GARCH-family models) rather than a single static volatility estimate for position sizing or margining.</w:t>
      </w:r>
    </w:p>
    <w:p w14:paraId="41B3C595" w14:textId="77777777" w:rsidR="007A09A5" w:rsidRDefault="00000000">
      <w:pPr>
        <w:pStyle w:val="ListParagraph"/>
        <w:numPr>
          <w:ilvl w:val="0"/>
          <w:numId w:val="1"/>
        </w:numPr>
        <w:spacing w:after="80"/>
      </w:pPr>
      <w:r>
        <w:t>Retail investors considering calendar-based strategies: the absence of a clear seasonal pattern (Fig. 5) argues against strategies premised on specific months being reliably better or worse.</w:t>
      </w:r>
    </w:p>
    <w:p w14:paraId="28AFC317" w14:textId="77777777" w:rsidR="007A09A5" w:rsidRDefault="00000000">
      <w:pPr>
        <w:pStyle w:val="ListParagraph"/>
        <w:numPr>
          <w:ilvl w:val="0"/>
          <w:numId w:val="1"/>
        </w:numPr>
        <w:spacing w:after="80"/>
      </w:pPr>
      <w:r>
        <w:t>Portfolio/derivatives desks: fat-tailed daily returns (Fig. 6) mean tail-risk hedging (e.g., options) should be priced and sized using return distributions calibrated to the data's actual kurtosis, not a normal-distribution assumption, which would understate the odds of extreme moves.</w:t>
      </w:r>
    </w:p>
    <w:sectPr w:rsidR="007A09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3504"/>
    <w:multiLevelType w:val="hybridMultilevel"/>
    <w:tmpl w:val="6046E120"/>
    <w:lvl w:ilvl="0" w:tplc="1916E364">
      <w:start w:val="1"/>
      <w:numFmt w:val="bullet"/>
      <w:lvlText w:val="●"/>
      <w:lvlJc w:val="left"/>
      <w:pPr>
        <w:ind w:left="720" w:hanging="360"/>
      </w:pPr>
    </w:lvl>
    <w:lvl w:ilvl="1" w:tplc="28CC5DD2">
      <w:start w:val="1"/>
      <w:numFmt w:val="bullet"/>
      <w:lvlText w:val="○"/>
      <w:lvlJc w:val="left"/>
      <w:pPr>
        <w:ind w:left="1440" w:hanging="360"/>
      </w:pPr>
    </w:lvl>
    <w:lvl w:ilvl="2" w:tplc="A0183C8E">
      <w:start w:val="1"/>
      <w:numFmt w:val="bullet"/>
      <w:lvlText w:val="■"/>
      <w:lvlJc w:val="left"/>
      <w:pPr>
        <w:ind w:left="2160" w:hanging="360"/>
      </w:pPr>
    </w:lvl>
    <w:lvl w:ilvl="3" w:tplc="9A82E7B4">
      <w:start w:val="1"/>
      <w:numFmt w:val="bullet"/>
      <w:lvlText w:val="●"/>
      <w:lvlJc w:val="left"/>
      <w:pPr>
        <w:ind w:left="2880" w:hanging="360"/>
      </w:pPr>
    </w:lvl>
    <w:lvl w:ilvl="4" w:tplc="695E920A">
      <w:start w:val="1"/>
      <w:numFmt w:val="bullet"/>
      <w:lvlText w:val="○"/>
      <w:lvlJc w:val="left"/>
      <w:pPr>
        <w:ind w:left="3600" w:hanging="360"/>
      </w:pPr>
    </w:lvl>
    <w:lvl w:ilvl="5" w:tplc="2776253A">
      <w:start w:val="1"/>
      <w:numFmt w:val="bullet"/>
      <w:lvlText w:val="■"/>
      <w:lvlJc w:val="left"/>
      <w:pPr>
        <w:ind w:left="4320" w:hanging="360"/>
      </w:pPr>
    </w:lvl>
    <w:lvl w:ilvl="6" w:tplc="8F645A2A">
      <w:start w:val="1"/>
      <w:numFmt w:val="bullet"/>
      <w:lvlText w:val="●"/>
      <w:lvlJc w:val="left"/>
      <w:pPr>
        <w:ind w:left="5040" w:hanging="360"/>
      </w:pPr>
    </w:lvl>
    <w:lvl w:ilvl="7" w:tplc="57281002">
      <w:start w:val="1"/>
      <w:numFmt w:val="bullet"/>
      <w:lvlText w:val="●"/>
      <w:lvlJc w:val="left"/>
      <w:pPr>
        <w:ind w:left="5760" w:hanging="360"/>
      </w:pPr>
    </w:lvl>
    <w:lvl w:ilvl="8" w:tplc="8E98F858">
      <w:start w:val="1"/>
      <w:numFmt w:val="bullet"/>
      <w:lvlText w:val="●"/>
      <w:lvlJc w:val="left"/>
      <w:pPr>
        <w:ind w:left="6480" w:hanging="360"/>
      </w:pPr>
    </w:lvl>
  </w:abstractNum>
  <w:num w:numId="1" w16cid:durableId="1326861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9A5"/>
    <w:rsid w:val="0000233E"/>
    <w:rsid w:val="007A09A5"/>
    <w:rsid w:val="00AA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2ABB"/>
  <w15:docId w15:val="{71219061-4EE3-4872-AAD4-24265A86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PARAS NAINWAL</cp:lastModifiedBy>
  <cp:revision>2</cp:revision>
  <dcterms:created xsi:type="dcterms:W3CDTF">2026-08-04T05:59:00Z</dcterms:created>
  <dcterms:modified xsi:type="dcterms:W3CDTF">2026-08-04T06:09:00Z</dcterms:modified>
</cp:coreProperties>
</file>