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91A2" w14:textId="77777777" w:rsidR="001213B0" w:rsidRDefault="00000000">
      <w:pPr>
        <w:pStyle w:val="Title"/>
        <w:spacing w:after="200"/>
      </w:pPr>
      <w:r>
        <w:t>Week 3: Statistical Analysis &amp; Hypothesis Testing</w:t>
      </w:r>
    </w:p>
    <w:p w14:paraId="7C82B569" w14:textId="77777777" w:rsidR="001213B0" w:rsidRDefault="00000000">
      <w:pPr>
        <w:spacing w:after="400"/>
      </w:pPr>
      <w:r>
        <w:rPr>
          <w:i/>
          <w:iCs/>
          <w:sz w:val="24"/>
          <w:szCs w:val="24"/>
        </w:rPr>
        <w:t>Domain: Financial Markets — NIFTY 50 Index (2007-2026)</w:t>
      </w:r>
    </w:p>
    <w:p w14:paraId="3D767AE0" w14:textId="0C85354E" w:rsidR="001213B0" w:rsidRDefault="00000000">
      <w:pPr>
        <w:spacing w:after="150"/>
      </w:pPr>
      <w:r>
        <w:t>Author: Paras</w:t>
      </w:r>
      <w:r w:rsidR="003B7612">
        <w:t xml:space="preserve"> Nainwal</w:t>
      </w:r>
    </w:p>
    <w:p w14:paraId="0554B56D" w14:textId="77777777" w:rsidR="001213B0" w:rsidRDefault="00000000">
      <w:pPr>
        <w:spacing w:after="150"/>
      </w:pPr>
      <w:r>
        <w:t>Date: August 2026</w:t>
      </w:r>
    </w:p>
    <w:p w14:paraId="1DC0C61B" w14:textId="77777777" w:rsidR="001213B0" w:rsidRDefault="00000000">
      <w:pPr>
        <w:spacing w:after="150"/>
      </w:pPr>
      <w:r>
        <w:t>Tools: Python (SciPy, Pandas)</w:t>
      </w:r>
    </w:p>
    <w:p w14:paraId="077CB36F" w14:textId="77777777" w:rsidR="001213B0" w:rsidRDefault="00000000">
      <w:r>
        <w:br w:type="page"/>
      </w:r>
    </w:p>
    <w:p w14:paraId="55FC5096" w14:textId="77777777" w:rsidR="001213B0" w:rsidRDefault="00000000">
      <w:pPr>
        <w:pStyle w:val="Heading1"/>
        <w:spacing w:before="300" w:after="150"/>
      </w:pPr>
      <w:r>
        <w:lastRenderedPageBreak/>
        <w:t>1. Introduction</w:t>
      </w:r>
    </w:p>
    <w:p w14:paraId="4BAC6B39" w14:textId="77777777" w:rsidR="001213B0" w:rsidRDefault="00000000">
      <w:pPr>
        <w:spacing w:after="150"/>
      </w:pPr>
      <w:r>
        <w:t>This report applies formal statistical hypothesis testing to four questions about NIFTY 50 index behavior that were raised informally in Weeks 1-2: whether the index has a genuine positive drift, whether crisis periods are statistically more volatile, whether a day-of-week effect exists, and whether trading volume relates to volatility. Each hypothesis is stated up front, tested with an appropriate method, and interpreted at the standard alpha = 0.05 significance level.</w:t>
      </w:r>
    </w:p>
    <w:p w14:paraId="309A56A7" w14:textId="77777777" w:rsidR="001213B0" w:rsidRDefault="00000000">
      <w:pPr>
        <w:pStyle w:val="Heading1"/>
        <w:spacing w:before="300" w:after="150"/>
      </w:pPr>
      <w:r>
        <w:t>2. Methodology Overview</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3500"/>
      </w:tblGrid>
      <w:tr w:rsidR="001213B0" w14:paraId="51294F16" w14:textId="77777777">
        <w:tblPrEx>
          <w:tblCellMar>
            <w:top w:w="0" w:type="dxa"/>
            <w:bottom w:w="0" w:type="dxa"/>
          </w:tblCellMar>
        </w:tblPrEx>
        <w:tc>
          <w:tcPr>
            <w:tcW w:w="3500" w:type="dxa"/>
            <w:shd w:val="clear" w:color="auto" w:fill="2E5395"/>
          </w:tcPr>
          <w:p w14:paraId="2BFB228E" w14:textId="77777777" w:rsidR="001213B0" w:rsidRDefault="00000000">
            <w:r>
              <w:rPr>
                <w:b/>
                <w:bCs/>
                <w:color w:val="FFFFFF"/>
                <w:sz w:val="18"/>
                <w:szCs w:val="18"/>
              </w:rPr>
              <w:t>Hypothesis</w:t>
            </w:r>
          </w:p>
        </w:tc>
        <w:tc>
          <w:tcPr>
            <w:tcW w:w="3500" w:type="dxa"/>
            <w:shd w:val="clear" w:color="auto" w:fill="2E5395"/>
          </w:tcPr>
          <w:p w14:paraId="5C696BEA" w14:textId="77777777" w:rsidR="001213B0" w:rsidRDefault="00000000">
            <w:r>
              <w:rPr>
                <w:b/>
                <w:bCs/>
                <w:color w:val="FFFFFF"/>
                <w:sz w:val="18"/>
                <w:szCs w:val="18"/>
              </w:rPr>
              <w:t>Test Used</w:t>
            </w:r>
          </w:p>
        </w:tc>
        <w:tc>
          <w:tcPr>
            <w:tcW w:w="3500" w:type="dxa"/>
            <w:shd w:val="clear" w:color="auto" w:fill="2E5395"/>
          </w:tcPr>
          <w:p w14:paraId="535DD10A" w14:textId="77777777" w:rsidR="001213B0" w:rsidRDefault="00000000">
            <w:r>
              <w:rPr>
                <w:b/>
                <w:bCs/>
                <w:color w:val="FFFFFF"/>
                <w:sz w:val="18"/>
                <w:szCs w:val="18"/>
              </w:rPr>
              <w:t>Compares</w:t>
            </w:r>
          </w:p>
        </w:tc>
      </w:tr>
      <w:tr w:rsidR="001213B0" w14:paraId="5C4245EB" w14:textId="77777777">
        <w:tblPrEx>
          <w:tblCellMar>
            <w:top w:w="0" w:type="dxa"/>
            <w:bottom w:w="0" w:type="dxa"/>
          </w:tblCellMar>
        </w:tblPrEx>
        <w:tc>
          <w:tcPr>
            <w:tcW w:w="3500" w:type="dxa"/>
          </w:tcPr>
          <w:p w14:paraId="38CBF2C2" w14:textId="77777777" w:rsidR="001213B0" w:rsidRDefault="00000000">
            <w:r>
              <w:rPr>
                <w:sz w:val="18"/>
                <w:szCs w:val="18"/>
              </w:rPr>
              <w:t>H1: Mean daily return ≠ 0</w:t>
            </w:r>
          </w:p>
        </w:tc>
        <w:tc>
          <w:tcPr>
            <w:tcW w:w="3500" w:type="dxa"/>
          </w:tcPr>
          <w:p w14:paraId="032CC84F" w14:textId="77777777" w:rsidR="001213B0" w:rsidRDefault="00000000">
            <w:r>
              <w:rPr>
                <w:sz w:val="18"/>
                <w:szCs w:val="18"/>
              </w:rPr>
              <w:t>One-sample t-test</w:t>
            </w:r>
          </w:p>
        </w:tc>
        <w:tc>
          <w:tcPr>
            <w:tcW w:w="3500" w:type="dxa"/>
          </w:tcPr>
          <w:p w14:paraId="680D2B48" w14:textId="77777777" w:rsidR="001213B0" w:rsidRDefault="00000000">
            <w:r>
              <w:rPr>
                <w:sz w:val="18"/>
                <w:szCs w:val="18"/>
              </w:rPr>
              <w:t>Sample mean vs. 0</w:t>
            </w:r>
          </w:p>
        </w:tc>
      </w:tr>
      <w:tr w:rsidR="001213B0" w14:paraId="59C97777" w14:textId="77777777">
        <w:tblPrEx>
          <w:tblCellMar>
            <w:top w:w="0" w:type="dxa"/>
            <w:bottom w:w="0" w:type="dxa"/>
          </w:tblCellMar>
        </w:tblPrEx>
        <w:tc>
          <w:tcPr>
            <w:tcW w:w="3500" w:type="dxa"/>
          </w:tcPr>
          <w:p w14:paraId="75813444" w14:textId="77777777" w:rsidR="001213B0" w:rsidRDefault="00000000">
            <w:r>
              <w:rPr>
                <w:sz w:val="18"/>
                <w:szCs w:val="18"/>
              </w:rPr>
              <w:t>H2: Crisis years more volatile</w:t>
            </w:r>
          </w:p>
        </w:tc>
        <w:tc>
          <w:tcPr>
            <w:tcW w:w="3500" w:type="dxa"/>
          </w:tcPr>
          <w:p w14:paraId="78BF041E" w14:textId="77777777" w:rsidR="001213B0" w:rsidRDefault="00000000">
            <w:r>
              <w:rPr>
                <w:sz w:val="18"/>
                <w:szCs w:val="18"/>
              </w:rPr>
              <w:t>Levene's test + Welch's t-test</w:t>
            </w:r>
          </w:p>
        </w:tc>
        <w:tc>
          <w:tcPr>
            <w:tcW w:w="3500" w:type="dxa"/>
          </w:tcPr>
          <w:p w14:paraId="530DF6FF" w14:textId="77777777" w:rsidR="001213B0" w:rsidRDefault="00000000">
            <w:r>
              <w:rPr>
                <w:sz w:val="18"/>
                <w:szCs w:val="18"/>
              </w:rPr>
              <w:t>2008 &amp; 2020 vs. other years</w:t>
            </w:r>
          </w:p>
        </w:tc>
      </w:tr>
      <w:tr w:rsidR="001213B0" w14:paraId="10DF8A95" w14:textId="77777777">
        <w:tblPrEx>
          <w:tblCellMar>
            <w:top w:w="0" w:type="dxa"/>
            <w:bottom w:w="0" w:type="dxa"/>
          </w:tblCellMar>
        </w:tblPrEx>
        <w:tc>
          <w:tcPr>
            <w:tcW w:w="3500" w:type="dxa"/>
          </w:tcPr>
          <w:p w14:paraId="20F9007A" w14:textId="77777777" w:rsidR="001213B0" w:rsidRDefault="00000000">
            <w:r>
              <w:rPr>
                <w:sz w:val="18"/>
                <w:szCs w:val="18"/>
              </w:rPr>
              <w:t>H3: Day-of-week effect exists</w:t>
            </w:r>
          </w:p>
        </w:tc>
        <w:tc>
          <w:tcPr>
            <w:tcW w:w="3500" w:type="dxa"/>
          </w:tcPr>
          <w:p w14:paraId="0B93FF8C" w14:textId="77777777" w:rsidR="001213B0" w:rsidRDefault="00000000">
            <w:r>
              <w:rPr>
                <w:sz w:val="18"/>
                <w:szCs w:val="18"/>
              </w:rPr>
              <w:t>One-way ANOVA</w:t>
            </w:r>
          </w:p>
        </w:tc>
        <w:tc>
          <w:tcPr>
            <w:tcW w:w="3500" w:type="dxa"/>
          </w:tcPr>
          <w:p w14:paraId="47BF4C51" w14:textId="77777777" w:rsidR="001213B0" w:rsidRDefault="00000000">
            <w:r>
              <w:rPr>
                <w:sz w:val="18"/>
                <w:szCs w:val="18"/>
              </w:rPr>
              <w:t xml:space="preserve">Mon-Fri </w:t>
            </w:r>
            <w:proofErr w:type="gramStart"/>
            <w:r>
              <w:rPr>
                <w:sz w:val="18"/>
                <w:szCs w:val="18"/>
              </w:rPr>
              <w:t>mean</w:t>
            </w:r>
            <w:proofErr w:type="gramEnd"/>
            <w:r>
              <w:rPr>
                <w:sz w:val="18"/>
                <w:szCs w:val="18"/>
              </w:rPr>
              <w:t xml:space="preserve"> returns</w:t>
            </w:r>
          </w:p>
        </w:tc>
      </w:tr>
      <w:tr w:rsidR="001213B0" w14:paraId="74E8C6C2" w14:textId="77777777">
        <w:tblPrEx>
          <w:tblCellMar>
            <w:top w:w="0" w:type="dxa"/>
            <w:bottom w:w="0" w:type="dxa"/>
          </w:tblCellMar>
        </w:tblPrEx>
        <w:tc>
          <w:tcPr>
            <w:tcW w:w="3500" w:type="dxa"/>
          </w:tcPr>
          <w:p w14:paraId="6AD430B8" w14:textId="77777777" w:rsidR="001213B0" w:rsidRDefault="00000000">
            <w:r>
              <w:rPr>
                <w:sz w:val="18"/>
                <w:szCs w:val="18"/>
              </w:rPr>
              <w:t>H4: Volume relates to volatility</w:t>
            </w:r>
          </w:p>
        </w:tc>
        <w:tc>
          <w:tcPr>
            <w:tcW w:w="3500" w:type="dxa"/>
          </w:tcPr>
          <w:p w14:paraId="695E04B1" w14:textId="77777777" w:rsidR="001213B0" w:rsidRDefault="00000000">
            <w:r>
              <w:rPr>
                <w:sz w:val="18"/>
                <w:szCs w:val="18"/>
              </w:rPr>
              <w:t>Pearson correlation</w:t>
            </w:r>
          </w:p>
        </w:tc>
        <w:tc>
          <w:tcPr>
            <w:tcW w:w="3500" w:type="dxa"/>
          </w:tcPr>
          <w:p w14:paraId="56E6F243" w14:textId="77777777" w:rsidR="001213B0" w:rsidRDefault="00000000">
            <w:r>
              <w:rPr>
                <w:sz w:val="18"/>
                <w:szCs w:val="18"/>
              </w:rPr>
              <w:t>Volume vs. |daily return|</w:t>
            </w:r>
          </w:p>
        </w:tc>
      </w:tr>
    </w:tbl>
    <w:p w14:paraId="211DF930" w14:textId="77777777" w:rsidR="001213B0" w:rsidRDefault="00000000">
      <w:pPr>
        <w:pStyle w:val="Heading1"/>
        <w:spacing w:before="300" w:after="150"/>
      </w:pPr>
      <w:r>
        <w:t>3. Hypothesis 1: Does NIFTY 50 Have a Statistically Significant Positive Drift?</w:t>
      </w:r>
    </w:p>
    <w:p w14:paraId="15ED71E5" w14:textId="77777777" w:rsidR="001213B0" w:rsidRDefault="00000000">
      <w:pPr>
        <w:pStyle w:val="Heading2"/>
        <w:spacing w:before="250" w:after="120"/>
      </w:pPr>
      <w:r>
        <w:t>3.1 Formulation</w:t>
      </w:r>
    </w:p>
    <w:p w14:paraId="51370E4B" w14:textId="77777777" w:rsidR="001213B0" w:rsidRDefault="00000000">
      <w:pPr>
        <w:spacing w:after="150"/>
      </w:pPr>
      <w:r>
        <w:t>H0 (null): the true mean daily return is 0% (no drift, consistent with a pure random walk). H1 (alternative): the true mean daily return is different from 0%.</w:t>
      </w:r>
    </w:p>
    <w:p w14:paraId="482C449D" w14:textId="77777777" w:rsidR="001213B0" w:rsidRDefault="00000000">
      <w:pPr>
        <w:pStyle w:val="Heading2"/>
        <w:spacing w:before="250" w:after="120"/>
      </w:pPr>
      <w:r>
        <w:t>3.2 Method</w:t>
      </w:r>
    </w:p>
    <w:p w14:paraId="65510E0E" w14:textId="77777777" w:rsidR="001213B0" w:rsidRDefault="00000000">
      <w:pPr>
        <w:spacing w:after="150"/>
      </w:pPr>
      <w:r>
        <w:t>A one-sample t-test was run on all 4,553 daily returns against a hypothesized mean of 0.</w:t>
      </w:r>
    </w:p>
    <w:p w14:paraId="719512D0" w14:textId="77777777" w:rsidR="001213B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from </w:t>
      </w:r>
      <w:proofErr w:type="spellStart"/>
      <w:r>
        <w:rPr>
          <w:rFonts w:ascii="Consolas" w:eastAsia="Consolas" w:hAnsi="Consolas" w:cs="Consolas"/>
          <w:sz w:val="18"/>
          <w:szCs w:val="18"/>
        </w:rPr>
        <w:t>scipy</w:t>
      </w:r>
      <w:proofErr w:type="spellEnd"/>
      <w:r>
        <w:rPr>
          <w:rFonts w:ascii="Consolas" w:eastAsia="Consolas" w:hAnsi="Consolas" w:cs="Consolas"/>
          <w:sz w:val="18"/>
          <w:szCs w:val="18"/>
        </w:rPr>
        <w:t xml:space="preserve"> import stats</w:t>
      </w:r>
      <w:r>
        <w:rPr>
          <w:rFonts w:ascii="Consolas" w:eastAsia="Consolas" w:hAnsi="Consolas" w:cs="Consolas"/>
          <w:sz w:val="18"/>
          <w:szCs w:val="18"/>
        </w:rPr>
        <w:br/>
      </w:r>
      <w:proofErr w:type="spellStart"/>
      <w:r>
        <w:rPr>
          <w:rFonts w:ascii="Consolas" w:eastAsia="Consolas" w:hAnsi="Consolas" w:cs="Consolas"/>
          <w:sz w:val="18"/>
          <w:szCs w:val="18"/>
        </w:rPr>
        <w:t>t_stat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p_val</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stats.ttest</w:t>
      </w:r>
      <w:proofErr w:type="gramEnd"/>
      <w:r>
        <w:rPr>
          <w:rFonts w:ascii="Consolas" w:eastAsia="Consolas" w:hAnsi="Consolas" w:cs="Consolas"/>
          <w:sz w:val="18"/>
          <w:szCs w:val="18"/>
        </w:rPr>
        <w:t>_1</w:t>
      </w:r>
      <w:proofErr w:type="gramStart"/>
      <w:r>
        <w:rPr>
          <w:rFonts w:ascii="Consolas" w:eastAsia="Consolas" w:hAnsi="Consolas" w:cs="Consolas"/>
          <w:sz w:val="18"/>
          <w:szCs w:val="18"/>
        </w:rPr>
        <w:t>samp(</w:t>
      </w:r>
      <w:proofErr w:type="gramEnd"/>
      <w:r>
        <w:rPr>
          <w:rFonts w:ascii="Consolas" w:eastAsia="Consolas" w:hAnsi="Consolas" w:cs="Consolas"/>
          <w:sz w:val="18"/>
          <w:szCs w:val="18"/>
        </w:rPr>
        <w:t>returns, 0)</w:t>
      </w:r>
      <w:r>
        <w:rPr>
          <w:rFonts w:ascii="Consolas" w:eastAsia="Consolas" w:hAnsi="Consolas" w:cs="Consolas"/>
          <w:sz w:val="18"/>
          <w:szCs w:val="18"/>
        </w:rPr>
        <w:br/>
        <w:t># t = 2.337, p = 0.0195</w:t>
      </w:r>
    </w:p>
    <w:p w14:paraId="7EFFACB2" w14:textId="77777777" w:rsidR="001213B0" w:rsidRDefault="00000000">
      <w:pPr>
        <w:spacing w:before="150" w:after="60"/>
        <w:jc w:val="center"/>
      </w:pPr>
      <w:r>
        <w:rPr>
          <w:noProof/>
        </w:rPr>
        <w:drawing>
          <wp:inline distT="0" distB="0" distL="0" distR="0" wp14:anchorId="35E0A330" wp14:editId="05E14640">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48000"/>
                    </a:xfrm>
                    <a:prstGeom prst="rect">
                      <a:avLst/>
                    </a:prstGeom>
                  </pic:spPr>
                </pic:pic>
              </a:graphicData>
            </a:graphic>
          </wp:inline>
        </w:drawing>
      </w:r>
    </w:p>
    <w:p w14:paraId="319121AD" w14:textId="77777777" w:rsidR="001213B0" w:rsidRDefault="00000000">
      <w:pPr>
        <w:spacing w:after="250"/>
        <w:jc w:val="center"/>
      </w:pPr>
      <w:r>
        <w:rPr>
          <w:i/>
          <w:iCs/>
          <w:color w:val="555555"/>
          <w:sz w:val="18"/>
          <w:szCs w:val="18"/>
        </w:rPr>
        <w:t>Figure 1: Daily return distribution centered near, but not exactly at, zero</w:t>
      </w:r>
    </w:p>
    <w:p w14:paraId="27C5AAD0" w14:textId="77777777" w:rsidR="001213B0" w:rsidRDefault="00000000">
      <w:pPr>
        <w:pStyle w:val="Heading2"/>
        <w:spacing w:before="250" w:after="120"/>
      </w:pPr>
      <w:r>
        <w:t>3.3 Result &amp; Interpretation</w:t>
      </w:r>
    </w:p>
    <w:p w14:paraId="6536B38B" w14:textId="77777777" w:rsidR="001213B0" w:rsidRDefault="00000000">
      <w:pPr>
        <w:spacing w:after="150"/>
      </w:pPr>
      <w:r>
        <w:t xml:space="preserve">t = 2.34, p = 0.0195. Since p &lt; 0.05, the null hypothesis is rejected: the mean daily return (+0.045%) is statistically significantly different from zero at the 5% level. Practically, this small but real positive daily drift compounds into the </w:t>
      </w:r>
      <w:r>
        <w:lastRenderedPageBreak/>
        <w:t>substantial long-run growth seen in Week 1-2 — though the effect size on any single day is small relative to daily volatility (~1.3%), meaning the drift is only detectable with a large sample, not from watching a handful of days.</w:t>
      </w:r>
    </w:p>
    <w:p w14:paraId="7E92CE5C" w14:textId="77777777" w:rsidR="001213B0" w:rsidRDefault="00000000">
      <w:pPr>
        <w:pStyle w:val="Heading1"/>
        <w:spacing w:before="300" w:after="150"/>
      </w:pPr>
      <w:r>
        <w:t>4. Hypothesis 2: Are Crisis Years Significantly More Volatile?</w:t>
      </w:r>
    </w:p>
    <w:p w14:paraId="61038AB8" w14:textId="77777777" w:rsidR="001213B0" w:rsidRDefault="00000000">
      <w:pPr>
        <w:pStyle w:val="Heading2"/>
        <w:spacing w:before="250" w:after="120"/>
      </w:pPr>
      <w:r>
        <w:t>4.1 Formulation</w:t>
      </w:r>
    </w:p>
    <w:p w14:paraId="5FED92E1" w14:textId="77777777" w:rsidR="001213B0" w:rsidRDefault="00000000">
      <w:pPr>
        <w:spacing w:after="150"/>
      </w:pPr>
      <w:r>
        <w:t>H0: daily volatility (measured as |daily return|) is the same in crisis years (2008, 2020) as in all other years. H1: crisis-year volatility is significantly different (higher).</w:t>
      </w:r>
    </w:p>
    <w:p w14:paraId="38289A01" w14:textId="77777777" w:rsidR="001213B0" w:rsidRDefault="00000000">
      <w:pPr>
        <w:pStyle w:val="Heading2"/>
        <w:spacing w:before="250" w:after="120"/>
      </w:pPr>
      <w:r>
        <w:t>4.2 Method</w:t>
      </w:r>
    </w:p>
    <w:p w14:paraId="08A8F128" w14:textId="77777777" w:rsidR="001213B0" w:rsidRDefault="00000000">
      <w:pPr>
        <w:spacing w:after="150"/>
      </w:pPr>
      <w:r>
        <w:t>Levene's test was used first to formally confirm unequal variances between the two groups, followed by Welch's t-test (which does not assume equal variance) comparing absolute daily returns.</w:t>
      </w:r>
    </w:p>
    <w:p w14:paraId="5438485F" w14:textId="77777777" w:rsidR="001213B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lev_stat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lev_p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stats.levene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crisis_returns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normal_returns</w:t>
      </w:r>
      <w:proofErr w:type="spellEnd"/>
      <w:r>
        <w:rPr>
          <w:rFonts w:ascii="Consolas" w:eastAsia="Consolas" w:hAnsi="Consolas" w:cs="Consolas"/>
          <w:sz w:val="18"/>
          <w:szCs w:val="18"/>
        </w:rPr>
        <w:t>)</w:t>
      </w:r>
      <w:r>
        <w:rPr>
          <w:rFonts w:ascii="Consolas" w:eastAsia="Consolas" w:hAnsi="Consolas" w:cs="Consolas"/>
          <w:sz w:val="18"/>
          <w:szCs w:val="18"/>
        </w:rPr>
        <w:br/>
        <w:t># Levene: stat = 395.6, p &lt; 0.001</w:t>
      </w:r>
      <w:r>
        <w:rPr>
          <w:rFonts w:ascii="Consolas" w:eastAsia="Consolas" w:hAnsi="Consolas" w:cs="Consolas"/>
          <w:sz w:val="18"/>
          <w:szCs w:val="18"/>
        </w:rPr>
        <w:br/>
      </w:r>
      <w:proofErr w:type="spellStart"/>
      <w:r>
        <w:rPr>
          <w:rFonts w:ascii="Consolas" w:eastAsia="Consolas" w:hAnsi="Consolas" w:cs="Consolas"/>
          <w:sz w:val="18"/>
          <w:szCs w:val="18"/>
        </w:rPr>
        <w:t>t_stat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p_val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stats.ttest</w:t>
      </w:r>
      <w:proofErr w:type="gramEnd"/>
      <w:r>
        <w:rPr>
          <w:rFonts w:ascii="Consolas" w:eastAsia="Consolas" w:hAnsi="Consolas" w:cs="Consolas"/>
          <w:sz w:val="18"/>
          <w:szCs w:val="18"/>
        </w:rPr>
        <w:t>_</w:t>
      </w:r>
      <w:proofErr w:type="gramStart"/>
      <w:r>
        <w:rPr>
          <w:rFonts w:ascii="Consolas" w:eastAsia="Consolas" w:hAnsi="Consolas" w:cs="Consolas"/>
          <w:sz w:val="18"/>
          <w:szCs w:val="18"/>
        </w:rPr>
        <w:t>ind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crisis_abs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normal_abs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equal_var</w:t>
      </w:r>
      <w:proofErr w:type="spellEnd"/>
      <w:r>
        <w:rPr>
          <w:rFonts w:ascii="Consolas" w:eastAsia="Consolas" w:hAnsi="Consolas" w:cs="Consolas"/>
          <w:sz w:val="18"/>
          <w:szCs w:val="18"/>
        </w:rPr>
        <w:t>=False)</w:t>
      </w:r>
      <w:r>
        <w:rPr>
          <w:rFonts w:ascii="Consolas" w:eastAsia="Consolas" w:hAnsi="Consolas" w:cs="Consolas"/>
          <w:sz w:val="18"/>
          <w:szCs w:val="18"/>
        </w:rPr>
        <w:br/>
        <w:t># t = 11.11, p &lt; 0.001</w:t>
      </w:r>
    </w:p>
    <w:p w14:paraId="0E3D513C" w14:textId="77777777" w:rsidR="001213B0" w:rsidRDefault="00000000">
      <w:pPr>
        <w:spacing w:before="150" w:after="60"/>
        <w:jc w:val="center"/>
      </w:pPr>
      <w:r>
        <w:rPr>
          <w:noProof/>
        </w:rPr>
        <w:drawing>
          <wp:inline distT="0" distB="0" distL="0" distR="0" wp14:anchorId="2E50C89D" wp14:editId="6C2CEDD3">
            <wp:extent cx="4381500" cy="3238500"/>
            <wp:effectExtent l="0" t="0" r="0" b="0"/>
            <wp:docPr id="1425502331" name="Picture 142550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238500"/>
                    </a:xfrm>
                    <a:prstGeom prst="rect">
                      <a:avLst/>
                    </a:prstGeom>
                  </pic:spPr>
                </pic:pic>
              </a:graphicData>
            </a:graphic>
          </wp:inline>
        </w:drawing>
      </w:r>
    </w:p>
    <w:p w14:paraId="616233C6" w14:textId="77777777" w:rsidR="001213B0" w:rsidRDefault="00000000">
      <w:pPr>
        <w:spacing w:after="250"/>
        <w:jc w:val="center"/>
      </w:pPr>
      <w:r>
        <w:rPr>
          <w:i/>
          <w:iCs/>
          <w:color w:val="555555"/>
          <w:sz w:val="18"/>
          <w:szCs w:val="18"/>
        </w:rPr>
        <w:t>Figure 2: Absolute daily returns — crisis years vs. normal years</w:t>
      </w:r>
    </w:p>
    <w:p w14:paraId="0F692FFD" w14:textId="77777777" w:rsidR="001213B0" w:rsidRDefault="00000000">
      <w:pPr>
        <w:pStyle w:val="Heading2"/>
        <w:spacing w:before="250" w:after="120"/>
      </w:pPr>
      <w:r>
        <w:t>4.3 Result &amp; Interpretation</w:t>
      </w:r>
    </w:p>
    <w:p w14:paraId="5162B674" w14:textId="77777777" w:rsidR="001213B0" w:rsidRDefault="00000000">
      <w:pPr>
        <w:spacing w:after="150"/>
      </w:pPr>
      <w:r>
        <w:t xml:space="preserve">Both tests are highly significant (p &lt; 0.001). Average absolute daily movement was 1.66% in crisis years versus 0.77% in normal years — more than double. This confirms quantitatively what Week 2's rolling volatility chart showed visually: crisis periods are not just subjectively more </w:t>
      </w:r>
      <w:proofErr w:type="gramStart"/>
      <w:r>
        <w:t>turbulent,</w:t>
      </w:r>
      <w:proofErr w:type="gramEnd"/>
      <w:r>
        <w:t xml:space="preserve"> the difference is statistically overwhelming and more than twice the typical magnitude.</w:t>
      </w:r>
    </w:p>
    <w:p w14:paraId="52FE6D29" w14:textId="77777777" w:rsidR="001213B0" w:rsidRDefault="00000000">
      <w:pPr>
        <w:pStyle w:val="Heading1"/>
        <w:spacing w:before="300" w:after="150"/>
      </w:pPr>
      <w:r>
        <w:t>5. Hypothesis 3: Is There a Day-of-Week Effect?</w:t>
      </w:r>
    </w:p>
    <w:p w14:paraId="05AEA2C0" w14:textId="77777777" w:rsidR="001213B0" w:rsidRDefault="00000000">
      <w:pPr>
        <w:pStyle w:val="Heading2"/>
        <w:spacing w:before="250" w:after="120"/>
      </w:pPr>
      <w:r>
        <w:t>5.1 Formulation</w:t>
      </w:r>
    </w:p>
    <w:p w14:paraId="17A665F6" w14:textId="77777777" w:rsidR="001213B0" w:rsidRDefault="00000000">
      <w:pPr>
        <w:spacing w:after="150"/>
      </w:pPr>
      <w:r>
        <w:t>H0: mean daily return is the same across all five trading weekdays (Monday-Friday). H1: at least one weekday's mean return differs from the others.</w:t>
      </w:r>
    </w:p>
    <w:p w14:paraId="65A24969" w14:textId="77777777" w:rsidR="001213B0" w:rsidRDefault="00000000">
      <w:pPr>
        <w:pStyle w:val="Heading2"/>
        <w:spacing w:before="250" w:after="120"/>
      </w:pPr>
      <w:r>
        <w:lastRenderedPageBreak/>
        <w:t>5.2 Method</w:t>
      </w:r>
    </w:p>
    <w:p w14:paraId="1DE72015" w14:textId="77777777" w:rsidR="001213B0" w:rsidRDefault="00000000">
      <w:pPr>
        <w:spacing w:after="150"/>
      </w:pPr>
      <w:r>
        <w:t>A one-way ANOVA was run across the five weekday groups of daily returns.</w:t>
      </w:r>
    </w:p>
    <w:p w14:paraId="46C67E6D" w14:textId="77777777" w:rsidR="001213B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f_stat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p_val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stats.f</w:t>
      </w:r>
      <w:proofErr w:type="gramEnd"/>
      <w:r>
        <w:rPr>
          <w:rFonts w:ascii="Consolas" w:eastAsia="Consolas" w:hAnsi="Consolas" w:cs="Consolas"/>
          <w:sz w:val="18"/>
          <w:szCs w:val="18"/>
        </w:rPr>
        <w:t>_</w:t>
      </w:r>
      <w:proofErr w:type="gramStart"/>
      <w:r>
        <w:rPr>
          <w:rFonts w:ascii="Consolas" w:eastAsia="Consolas" w:hAnsi="Consolas" w:cs="Consolas"/>
          <w:sz w:val="18"/>
          <w:szCs w:val="18"/>
        </w:rPr>
        <w:t>oneway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tue</w:t>
      </w:r>
      <w:proofErr w:type="spellEnd"/>
      <w:r>
        <w:rPr>
          <w:rFonts w:ascii="Consolas" w:eastAsia="Consolas" w:hAnsi="Consolas" w:cs="Consolas"/>
          <w:sz w:val="18"/>
          <w:szCs w:val="18"/>
        </w:rPr>
        <w:t xml:space="preserve">, wed, </w:t>
      </w:r>
      <w:proofErr w:type="spellStart"/>
      <w:r>
        <w:rPr>
          <w:rFonts w:ascii="Consolas" w:eastAsia="Consolas" w:hAnsi="Consolas" w:cs="Consolas"/>
          <w:sz w:val="18"/>
          <w:szCs w:val="18"/>
        </w:rPr>
        <w:t>thu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fri</w:t>
      </w:r>
      <w:proofErr w:type="spellEnd"/>
      <w:r>
        <w:rPr>
          <w:rFonts w:ascii="Consolas" w:eastAsia="Consolas" w:hAnsi="Consolas" w:cs="Consolas"/>
          <w:sz w:val="18"/>
          <w:szCs w:val="18"/>
        </w:rPr>
        <w:t>)</w:t>
      </w:r>
      <w:r>
        <w:rPr>
          <w:rFonts w:ascii="Consolas" w:eastAsia="Consolas" w:hAnsi="Consolas" w:cs="Consolas"/>
          <w:sz w:val="18"/>
          <w:szCs w:val="18"/>
        </w:rPr>
        <w:br/>
        <w:t># F = 1.506, p = 0.198</w:t>
      </w:r>
    </w:p>
    <w:p w14:paraId="47ECE94C" w14:textId="77777777" w:rsidR="001213B0" w:rsidRDefault="00000000">
      <w:pPr>
        <w:spacing w:before="150" w:after="60"/>
        <w:jc w:val="center"/>
      </w:pPr>
      <w:r>
        <w:rPr>
          <w:noProof/>
        </w:rPr>
        <w:drawing>
          <wp:inline distT="0" distB="0" distL="0" distR="0" wp14:anchorId="12AC99BD" wp14:editId="0292924C">
            <wp:extent cx="4572000" cy="3048000"/>
            <wp:effectExtent l="0" t="0" r="0" b="0"/>
            <wp:docPr id="677955054" name="Picture 67795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66BEF04F" w14:textId="77777777" w:rsidR="001213B0" w:rsidRDefault="00000000">
      <w:pPr>
        <w:spacing w:after="250"/>
        <w:jc w:val="center"/>
      </w:pPr>
      <w:r>
        <w:rPr>
          <w:i/>
          <w:iCs/>
          <w:color w:val="555555"/>
          <w:sz w:val="18"/>
          <w:szCs w:val="18"/>
        </w:rPr>
        <w:t>Figure 3: Mean daily return by weekday, with 95% confidence intervals</w:t>
      </w:r>
    </w:p>
    <w:p w14:paraId="4615EF86" w14:textId="77777777" w:rsidR="001213B0" w:rsidRDefault="00000000">
      <w:pPr>
        <w:pStyle w:val="Heading2"/>
        <w:spacing w:before="250" w:after="120"/>
      </w:pPr>
      <w:r>
        <w:t>5.3 Result &amp; Interpretation</w:t>
      </w:r>
    </w:p>
    <w:p w14:paraId="5292C5F0" w14:textId="77777777" w:rsidR="001213B0" w:rsidRDefault="00000000">
      <w:pPr>
        <w:spacing w:after="150"/>
      </w:pPr>
      <w:r>
        <w:t>F = 1.51, p = 0.198. Since p &gt; 0.05, the null hypothesis cannot be rejected: there is no statistically significant difference in mean returns across weekdays. This matches the visual absence of a seasonal pattern from Week 2's monthly heatmap — NIFTY 50 shows no exploitable calendar effect at the weekday level in this dataset, consistent with market efficiency.</w:t>
      </w:r>
    </w:p>
    <w:p w14:paraId="63C0755B" w14:textId="77777777" w:rsidR="001213B0" w:rsidRDefault="00000000">
      <w:pPr>
        <w:pStyle w:val="Heading1"/>
        <w:spacing w:before="300" w:after="150"/>
      </w:pPr>
      <w:r>
        <w:t>6. Hypothesis 4: Does Trading Volume Relate to Volatility?</w:t>
      </w:r>
    </w:p>
    <w:p w14:paraId="696316D9" w14:textId="77777777" w:rsidR="001213B0" w:rsidRDefault="00000000">
      <w:pPr>
        <w:pStyle w:val="Heading2"/>
        <w:spacing w:before="250" w:after="120"/>
      </w:pPr>
      <w:r>
        <w:t>6.1 Formulation</w:t>
      </w:r>
    </w:p>
    <w:p w14:paraId="1970672A" w14:textId="77777777" w:rsidR="001213B0" w:rsidRDefault="00000000">
      <w:pPr>
        <w:spacing w:after="150"/>
      </w:pPr>
      <w:r>
        <w:t>H0: there is no linear correlation between trading volume and absolute daily return. H1: volume and absolute daily return are correlated.</w:t>
      </w:r>
    </w:p>
    <w:p w14:paraId="0832720E" w14:textId="77777777" w:rsidR="001213B0" w:rsidRDefault="00000000">
      <w:pPr>
        <w:pStyle w:val="Heading2"/>
        <w:spacing w:before="250" w:after="120"/>
      </w:pPr>
      <w:r>
        <w:t>6.2 Method</w:t>
      </w:r>
    </w:p>
    <w:p w14:paraId="124E349E" w14:textId="77777777" w:rsidR="001213B0" w:rsidRDefault="00000000">
      <w:pPr>
        <w:spacing w:after="150"/>
      </w:pPr>
      <w:r>
        <w:t xml:space="preserve">A Pearson correlation test was run between Volume and the absolute value of </w:t>
      </w:r>
      <w:proofErr w:type="spellStart"/>
      <w:r>
        <w:t>Daily_Return</w:t>
      </w:r>
      <w:proofErr w:type="spellEnd"/>
      <w:r>
        <w:t>_%, restricted to the post-2013 subset where volume data is reliable (per the missing-data finding in Week 1).</w:t>
      </w:r>
    </w:p>
    <w:p w14:paraId="5D454758" w14:textId="77777777" w:rsidR="001213B0"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r, </w:t>
      </w:r>
      <w:proofErr w:type="spellStart"/>
      <w:r>
        <w:rPr>
          <w:rFonts w:ascii="Consolas" w:eastAsia="Consolas" w:hAnsi="Consolas" w:cs="Consolas"/>
          <w:sz w:val="18"/>
          <w:szCs w:val="18"/>
        </w:rPr>
        <w:t>p_val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stats.pearsonr</w:t>
      </w:r>
      <w:proofErr w:type="spellEnd"/>
      <w:proofErr w:type="gramEnd"/>
      <w:r>
        <w:rPr>
          <w:rFonts w:ascii="Consolas" w:eastAsia="Consolas" w:hAnsi="Consolas" w:cs="Consolas"/>
          <w:sz w:val="18"/>
          <w:szCs w:val="18"/>
        </w:rPr>
        <w:t xml:space="preserve">(volume, </w:t>
      </w:r>
      <w:proofErr w:type="spellStart"/>
      <w:r>
        <w:rPr>
          <w:rFonts w:ascii="Consolas" w:eastAsia="Consolas" w:hAnsi="Consolas" w:cs="Consolas"/>
          <w:sz w:val="18"/>
          <w:szCs w:val="18"/>
        </w:rPr>
        <w:t>abs_returns</w:t>
      </w:r>
      <w:proofErr w:type="spellEnd"/>
      <w:r>
        <w:rPr>
          <w:rFonts w:ascii="Consolas" w:eastAsia="Consolas" w:hAnsi="Consolas" w:cs="Consolas"/>
          <w:sz w:val="18"/>
          <w:szCs w:val="18"/>
        </w:rPr>
        <w:t>)</w:t>
      </w:r>
      <w:r>
        <w:rPr>
          <w:rFonts w:ascii="Consolas" w:eastAsia="Consolas" w:hAnsi="Consolas" w:cs="Consolas"/>
          <w:sz w:val="18"/>
          <w:szCs w:val="18"/>
        </w:rPr>
        <w:br/>
        <w:t># r = 0.297, p &lt; 0.001, n = 3220</w:t>
      </w:r>
    </w:p>
    <w:p w14:paraId="45CEF2C7" w14:textId="77777777" w:rsidR="001213B0" w:rsidRDefault="00000000">
      <w:pPr>
        <w:spacing w:before="150" w:after="60"/>
        <w:jc w:val="center"/>
      </w:pPr>
      <w:r>
        <w:rPr>
          <w:noProof/>
        </w:rPr>
        <w:lastRenderedPageBreak/>
        <w:drawing>
          <wp:inline distT="0" distB="0" distL="0" distR="0" wp14:anchorId="4C032EA6" wp14:editId="31216342">
            <wp:extent cx="4572000" cy="3238500"/>
            <wp:effectExtent l="0" t="0" r="0" b="0"/>
            <wp:docPr id="956721870" name="Picture 95672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238500"/>
                    </a:xfrm>
                    <a:prstGeom prst="rect">
                      <a:avLst/>
                    </a:prstGeom>
                  </pic:spPr>
                </pic:pic>
              </a:graphicData>
            </a:graphic>
          </wp:inline>
        </w:drawing>
      </w:r>
    </w:p>
    <w:p w14:paraId="2F44A724" w14:textId="77777777" w:rsidR="001213B0" w:rsidRDefault="00000000">
      <w:pPr>
        <w:spacing w:after="250"/>
        <w:jc w:val="center"/>
      </w:pPr>
      <w:r>
        <w:rPr>
          <w:i/>
          <w:iCs/>
          <w:color w:val="555555"/>
          <w:sz w:val="18"/>
          <w:szCs w:val="18"/>
        </w:rPr>
        <w:t>Figure 4: Trading volume vs. absolute daily return</w:t>
      </w:r>
    </w:p>
    <w:p w14:paraId="77CCEAAA" w14:textId="77777777" w:rsidR="001213B0" w:rsidRDefault="00000000">
      <w:pPr>
        <w:pStyle w:val="Heading2"/>
        <w:spacing w:before="250" w:after="120"/>
      </w:pPr>
      <w:r>
        <w:t>6.3 Result &amp; Interpretation</w:t>
      </w:r>
    </w:p>
    <w:p w14:paraId="0B536CC1" w14:textId="77777777" w:rsidR="001213B0" w:rsidRDefault="00000000">
      <w:pPr>
        <w:spacing w:after="150"/>
      </w:pPr>
      <w:r>
        <w:t>r = 0.30, p &lt; 0.001. The correlation is statistically significant but only weak-to-moderate in strength — higher volume days are somewhat more likely to be volatile days, consistent with the intuition that panic or euphoria drives both higher trading activity and bigger price swings, but volume alone explains only a modest share of day-to-day volatility (r² ≈ 9%).</w:t>
      </w:r>
    </w:p>
    <w:p w14:paraId="1A7FD84B" w14:textId="77777777" w:rsidR="001213B0" w:rsidRDefault="00000000">
      <w:pPr>
        <w:pStyle w:val="Heading1"/>
        <w:spacing w:before="300" w:after="150"/>
      </w:pPr>
      <w:r>
        <w:t>7. Summary of Findings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3500"/>
      </w:tblGrid>
      <w:tr w:rsidR="001213B0" w14:paraId="76CB51BD" w14:textId="77777777">
        <w:tblPrEx>
          <w:tblCellMar>
            <w:top w:w="0" w:type="dxa"/>
            <w:bottom w:w="0" w:type="dxa"/>
          </w:tblCellMar>
        </w:tblPrEx>
        <w:tc>
          <w:tcPr>
            <w:tcW w:w="3500" w:type="dxa"/>
            <w:shd w:val="clear" w:color="auto" w:fill="2E5395"/>
          </w:tcPr>
          <w:p w14:paraId="35998738" w14:textId="77777777" w:rsidR="001213B0" w:rsidRDefault="00000000">
            <w:r>
              <w:rPr>
                <w:b/>
                <w:bCs/>
                <w:color w:val="FFFFFF"/>
                <w:sz w:val="18"/>
                <w:szCs w:val="18"/>
              </w:rPr>
              <w:t>Hypothesis</w:t>
            </w:r>
          </w:p>
        </w:tc>
        <w:tc>
          <w:tcPr>
            <w:tcW w:w="3500" w:type="dxa"/>
            <w:shd w:val="clear" w:color="auto" w:fill="2E5395"/>
          </w:tcPr>
          <w:p w14:paraId="5DE53E3E" w14:textId="77777777" w:rsidR="001213B0" w:rsidRDefault="00000000">
            <w:r>
              <w:rPr>
                <w:b/>
                <w:bCs/>
                <w:color w:val="FFFFFF"/>
                <w:sz w:val="18"/>
                <w:szCs w:val="18"/>
              </w:rPr>
              <w:t>Result</w:t>
            </w:r>
          </w:p>
        </w:tc>
        <w:tc>
          <w:tcPr>
            <w:tcW w:w="3500" w:type="dxa"/>
            <w:shd w:val="clear" w:color="auto" w:fill="2E5395"/>
          </w:tcPr>
          <w:p w14:paraId="3E91B4A1" w14:textId="77777777" w:rsidR="001213B0" w:rsidRDefault="00000000">
            <w:r>
              <w:rPr>
                <w:b/>
                <w:bCs/>
                <w:color w:val="FFFFFF"/>
                <w:sz w:val="18"/>
                <w:szCs w:val="18"/>
              </w:rPr>
              <w:t>Conclusion</w:t>
            </w:r>
          </w:p>
        </w:tc>
      </w:tr>
      <w:tr w:rsidR="001213B0" w14:paraId="46D27AF0" w14:textId="77777777">
        <w:tblPrEx>
          <w:tblCellMar>
            <w:top w:w="0" w:type="dxa"/>
            <w:bottom w:w="0" w:type="dxa"/>
          </w:tblCellMar>
        </w:tblPrEx>
        <w:tc>
          <w:tcPr>
            <w:tcW w:w="3500" w:type="dxa"/>
          </w:tcPr>
          <w:p w14:paraId="710BA3E9" w14:textId="77777777" w:rsidR="001213B0" w:rsidRDefault="00000000">
            <w:r>
              <w:rPr>
                <w:sz w:val="18"/>
                <w:szCs w:val="18"/>
              </w:rPr>
              <w:t>H1: Drift ≠ 0</w:t>
            </w:r>
          </w:p>
        </w:tc>
        <w:tc>
          <w:tcPr>
            <w:tcW w:w="3500" w:type="dxa"/>
          </w:tcPr>
          <w:p w14:paraId="669C2358" w14:textId="77777777" w:rsidR="001213B0" w:rsidRDefault="00000000">
            <w:r>
              <w:rPr>
                <w:sz w:val="18"/>
                <w:szCs w:val="18"/>
              </w:rPr>
              <w:t>p = 0.0195</w:t>
            </w:r>
          </w:p>
        </w:tc>
        <w:tc>
          <w:tcPr>
            <w:tcW w:w="3500" w:type="dxa"/>
          </w:tcPr>
          <w:p w14:paraId="0F04D0FF" w14:textId="77777777" w:rsidR="001213B0" w:rsidRDefault="00000000">
            <w:r>
              <w:rPr>
                <w:sz w:val="18"/>
                <w:szCs w:val="18"/>
              </w:rPr>
              <w:t>Reject H0 — small but real positive drift</w:t>
            </w:r>
          </w:p>
        </w:tc>
      </w:tr>
      <w:tr w:rsidR="001213B0" w14:paraId="7454EC6E" w14:textId="77777777">
        <w:tblPrEx>
          <w:tblCellMar>
            <w:top w:w="0" w:type="dxa"/>
            <w:bottom w:w="0" w:type="dxa"/>
          </w:tblCellMar>
        </w:tblPrEx>
        <w:tc>
          <w:tcPr>
            <w:tcW w:w="3500" w:type="dxa"/>
          </w:tcPr>
          <w:p w14:paraId="13C31ACA" w14:textId="77777777" w:rsidR="001213B0" w:rsidRDefault="00000000">
            <w:r>
              <w:rPr>
                <w:sz w:val="18"/>
                <w:szCs w:val="18"/>
              </w:rPr>
              <w:t>H2: Crisis volatility</w:t>
            </w:r>
          </w:p>
        </w:tc>
        <w:tc>
          <w:tcPr>
            <w:tcW w:w="3500" w:type="dxa"/>
          </w:tcPr>
          <w:p w14:paraId="3EE76371" w14:textId="77777777" w:rsidR="001213B0" w:rsidRDefault="00000000">
            <w:r>
              <w:rPr>
                <w:sz w:val="18"/>
                <w:szCs w:val="18"/>
              </w:rPr>
              <w:t>p &lt; 0.001</w:t>
            </w:r>
          </w:p>
        </w:tc>
        <w:tc>
          <w:tcPr>
            <w:tcW w:w="3500" w:type="dxa"/>
          </w:tcPr>
          <w:p w14:paraId="4DDEB865" w14:textId="77777777" w:rsidR="001213B0" w:rsidRDefault="00000000">
            <w:r>
              <w:rPr>
                <w:sz w:val="18"/>
                <w:szCs w:val="18"/>
              </w:rPr>
              <w:t>Reject H0 — crisis years &gt;2x more volatile</w:t>
            </w:r>
          </w:p>
        </w:tc>
      </w:tr>
      <w:tr w:rsidR="001213B0" w14:paraId="00CE3247" w14:textId="77777777">
        <w:tblPrEx>
          <w:tblCellMar>
            <w:top w:w="0" w:type="dxa"/>
            <w:bottom w:w="0" w:type="dxa"/>
          </w:tblCellMar>
        </w:tblPrEx>
        <w:tc>
          <w:tcPr>
            <w:tcW w:w="3500" w:type="dxa"/>
          </w:tcPr>
          <w:p w14:paraId="78FF2DD2" w14:textId="77777777" w:rsidR="001213B0" w:rsidRDefault="00000000">
            <w:r>
              <w:rPr>
                <w:sz w:val="18"/>
                <w:szCs w:val="18"/>
              </w:rPr>
              <w:t>H3: Day-of-week effect</w:t>
            </w:r>
          </w:p>
        </w:tc>
        <w:tc>
          <w:tcPr>
            <w:tcW w:w="3500" w:type="dxa"/>
          </w:tcPr>
          <w:p w14:paraId="708DC6D9" w14:textId="77777777" w:rsidR="001213B0" w:rsidRDefault="00000000">
            <w:r>
              <w:rPr>
                <w:sz w:val="18"/>
                <w:szCs w:val="18"/>
              </w:rPr>
              <w:t>p = 0.198</w:t>
            </w:r>
          </w:p>
        </w:tc>
        <w:tc>
          <w:tcPr>
            <w:tcW w:w="3500" w:type="dxa"/>
          </w:tcPr>
          <w:p w14:paraId="0A1272E3" w14:textId="77777777" w:rsidR="001213B0" w:rsidRDefault="00000000">
            <w:r>
              <w:rPr>
                <w:sz w:val="18"/>
                <w:szCs w:val="18"/>
              </w:rPr>
              <w:t>Fail to reject H0 — no weekday effect</w:t>
            </w:r>
          </w:p>
        </w:tc>
      </w:tr>
      <w:tr w:rsidR="001213B0" w14:paraId="2D96870A" w14:textId="77777777">
        <w:tblPrEx>
          <w:tblCellMar>
            <w:top w:w="0" w:type="dxa"/>
            <w:bottom w:w="0" w:type="dxa"/>
          </w:tblCellMar>
        </w:tblPrEx>
        <w:tc>
          <w:tcPr>
            <w:tcW w:w="3500" w:type="dxa"/>
          </w:tcPr>
          <w:p w14:paraId="016B9009" w14:textId="77777777" w:rsidR="001213B0" w:rsidRDefault="00000000">
            <w:r>
              <w:rPr>
                <w:sz w:val="18"/>
                <w:szCs w:val="18"/>
              </w:rPr>
              <w:t>H4: Volume-volatility link</w:t>
            </w:r>
          </w:p>
        </w:tc>
        <w:tc>
          <w:tcPr>
            <w:tcW w:w="3500" w:type="dxa"/>
          </w:tcPr>
          <w:p w14:paraId="16814C44" w14:textId="77777777" w:rsidR="001213B0" w:rsidRDefault="00000000">
            <w:r>
              <w:rPr>
                <w:sz w:val="18"/>
                <w:szCs w:val="18"/>
              </w:rPr>
              <w:t>p &lt; 0.001</w:t>
            </w:r>
          </w:p>
        </w:tc>
        <w:tc>
          <w:tcPr>
            <w:tcW w:w="3500" w:type="dxa"/>
          </w:tcPr>
          <w:p w14:paraId="79578502" w14:textId="77777777" w:rsidR="001213B0" w:rsidRDefault="00000000">
            <w:r>
              <w:rPr>
                <w:sz w:val="18"/>
                <w:szCs w:val="18"/>
              </w:rPr>
              <w:t>Reject H0 — weak-moderate positive link</w:t>
            </w:r>
          </w:p>
        </w:tc>
      </w:tr>
    </w:tbl>
    <w:p w14:paraId="02C75CAF" w14:textId="77777777" w:rsidR="001213B0" w:rsidRDefault="00000000">
      <w:pPr>
        <w:spacing w:after="150"/>
      </w:pPr>
      <w:r>
        <w:t>Three of the four hypotheses were statistically confirmed, and one (day-of-week effect) was not — an equally important and honest result, since a non-significant finding rules out a commonly assumed market anomaly rather than failing the analysis.</w:t>
      </w:r>
    </w:p>
    <w:p w14:paraId="353B5514" w14:textId="77777777" w:rsidR="001213B0" w:rsidRDefault="00000000">
      <w:pPr>
        <w:pStyle w:val="Heading1"/>
        <w:spacing w:before="300" w:after="150"/>
      </w:pPr>
      <w:r>
        <w:t>8. Validity Considerations</w:t>
      </w:r>
    </w:p>
    <w:p w14:paraId="403BC040" w14:textId="77777777" w:rsidR="001213B0" w:rsidRDefault="00000000">
      <w:pPr>
        <w:pStyle w:val="ListParagraph"/>
        <w:numPr>
          <w:ilvl w:val="0"/>
          <w:numId w:val="1"/>
        </w:numPr>
        <w:spacing w:after="80"/>
      </w:pPr>
      <w:r>
        <w:t xml:space="preserve">Daily returns are not independent in the strict statistical sense (volatility clustering, confirmed in Week 2, violates the </w:t>
      </w:r>
      <w:proofErr w:type="spellStart"/>
      <w:r>
        <w:t>i.i.d.</w:t>
      </w:r>
      <w:proofErr w:type="spellEnd"/>
      <w:r>
        <w:t xml:space="preserve"> assumption underlying a standard t-test), so p-values here should be read as indicative rather than exact.</w:t>
      </w:r>
    </w:p>
    <w:p w14:paraId="4F4B3BE1" w14:textId="77777777" w:rsidR="001213B0" w:rsidRDefault="00000000">
      <w:pPr>
        <w:pStyle w:val="ListParagraph"/>
        <w:numPr>
          <w:ilvl w:val="0"/>
          <w:numId w:val="1"/>
        </w:numPr>
        <w:spacing w:after="80"/>
      </w:pPr>
      <w:r>
        <w:t>H2's crisis-year definition (2008, 2020) was chosen based on prior domain knowledge from Weeks 1-2 rather than a data-driven changepoint detection method, which could introduce selection bias.</w:t>
      </w:r>
    </w:p>
    <w:p w14:paraId="1444FE68" w14:textId="77777777" w:rsidR="001213B0" w:rsidRDefault="00000000">
      <w:pPr>
        <w:pStyle w:val="ListParagraph"/>
        <w:numPr>
          <w:ilvl w:val="0"/>
          <w:numId w:val="1"/>
        </w:numPr>
        <w:spacing w:after="80"/>
      </w:pPr>
      <w:r>
        <w:t>H4 was restricted to the post-2013 period where Volume data was validated as reliable in Week 1 — using the full series would have mixed genuine volume signal with the disguised-missing-data issue already documented.</w:t>
      </w:r>
    </w:p>
    <w:sectPr w:rsidR="001213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B3848"/>
    <w:multiLevelType w:val="hybridMultilevel"/>
    <w:tmpl w:val="E822283A"/>
    <w:lvl w:ilvl="0" w:tplc="921A7A64">
      <w:start w:val="1"/>
      <w:numFmt w:val="bullet"/>
      <w:lvlText w:val="●"/>
      <w:lvlJc w:val="left"/>
      <w:pPr>
        <w:ind w:left="720" w:hanging="360"/>
      </w:pPr>
    </w:lvl>
    <w:lvl w:ilvl="1" w:tplc="E68E6960">
      <w:start w:val="1"/>
      <w:numFmt w:val="bullet"/>
      <w:lvlText w:val="○"/>
      <w:lvlJc w:val="left"/>
      <w:pPr>
        <w:ind w:left="1440" w:hanging="360"/>
      </w:pPr>
    </w:lvl>
    <w:lvl w:ilvl="2" w:tplc="1E305BF0">
      <w:start w:val="1"/>
      <w:numFmt w:val="bullet"/>
      <w:lvlText w:val="■"/>
      <w:lvlJc w:val="left"/>
      <w:pPr>
        <w:ind w:left="2160" w:hanging="360"/>
      </w:pPr>
    </w:lvl>
    <w:lvl w:ilvl="3" w:tplc="6EA8AD2A">
      <w:start w:val="1"/>
      <w:numFmt w:val="bullet"/>
      <w:lvlText w:val="●"/>
      <w:lvlJc w:val="left"/>
      <w:pPr>
        <w:ind w:left="2880" w:hanging="360"/>
      </w:pPr>
    </w:lvl>
    <w:lvl w:ilvl="4" w:tplc="A59613E4">
      <w:start w:val="1"/>
      <w:numFmt w:val="bullet"/>
      <w:lvlText w:val="○"/>
      <w:lvlJc w:val="left"/>
      <w:pPr>
        <w:ind w:left="3600" w:hanging="360"/>
      </w:pPr>
    </w:lvl>
    <w:lvl w:ilvl="5" w:tplc="8F7CFCCC">
      <w:start w:val="1"/>
      <w:numFmt w:val="bullet"/>
      <w:lvlText w:val="■"/>
      <w:lvlJc w:val="left"/>
      <w:pPr>
        <w:ind w:left="4320" w:hanging="360"/>
      </w:pPr>
    </w:lvl>
    <w:lvl w:ilvl="6" w:tplc="A5B6B21A">
      <w:start w:val="1"/>
      <w:numFmt w:val="bullet"/>
      <w:lvlText w:val="●"/>
      <w:lvlJc w:val="left"/>
      <w:pPr>
        <w:ind w:left="5040" w:hanging="360"/>
      </w:pPr>
    </w:lvl>
    <w:lvl w:ilvl="7" w:tplc="371ED314">
      <w:start w:val="1"/>
      <w:numFmt w:val="bullet"/>
      <w:lvlText w:val="●"/>
      <w:lvlJc w:val="left"/>
      <w:pPr>
        <w:ind w:left="5760" w:hanging="360"/>
      </w:pPr>
    </w:lvl>
    <w:lvl w:ilvl="8" w:tplc="34F4030C">
      <w:start w:val="1"/>
      <w:numFmt w:val="bullet"/>
      <w:lvlText w:val="●"/>
      <w:lvlJc w:val="left"/>
      <w:pPr>
        <w:ind w:left="6480" w:hanging="360"/>
      </w:pPr>
    </w:lvl>
  </w:abstractNum>
  <w:num w:numId="1" w16cid:durableId="1705475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3B0"/>
    <w:rsid w:val="001213B0"/>
    <w:rsid w:val="003B7612"/>
    <w:rsid w:val="00AA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3AB0"/>
  <w15:docId w15:val="{71219061-4EE3-4872-AAD4-24265A86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 NAINWAL</cp:lastModifiedBy>
  <cp:revision>2</cp:revision>
  <dcterms:created xsi:type="dcterms:W3CDTF">2026-08-04T06:00:00Z</dcterms:created>
  <dcterms:modified xsi:type="dcterms:W3CDTF">2026-08-04T06:10:00Z</dcterms:modified>
</cp:coreProperties>
</file>