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2"/>
          <w:szCs w:val="52"/>
        </w:rPr>
        <w:t xml:space="preserve">The Wandering Inn × Pathfinder 2e</w:t>
      </w:r>
    </w:p>
    <w:p>
      <w:pPr>
        <w:spacing w:after="400"/>
        <w:jc w:val="center"/>
      </w:pPr>
      <w:r>
        <w:rPr>
          <w:i/>
          <w:iCs/>
          <w:sz w:val="30"/>
          <w:szCs w:val="30"/>
        </w:rPr>
        <w:t xml:space="preserve">DM Starter Kit</w:t>
      </w:r>
    </w:p>
    <w:p>
      <w:pPr>
        <w:pStyle w:val="Heading1"/>
        <w:spacing w:after="160" w:before="320"/>
      </w:pPr>
      <w:r>
        <w:t xml:space="preserve">How to Use This Kit</w:t>
      </w:r>
    </w:p>
    <w:p>
      <w:pPr>
        <w:spacing w:after="160"/>
      </w:pPr>
      <w:r>
        <w:t xml:space="preserve">This is your operating manual for running the campaign, separate from the Player's Guide (which is safe to hand out) and the Conversion Rules document (the mechanical reference). Keep this one for yourself — it includes prep workflow, pacing advice, and encounter-building guidance that's more useful behind the screen than in front of it.</w:t>
      </w:r>
    </w:p>
    <w:p>
      <w:pPr>
        <w:spacing w:after="160"/>
      </w:pPr>
      <w:r>
        <w:t xml:space="preserve">Three documents work together:</w:t>
      </w:r>
    </w:p>
    <w:p>
      <w:pPr>
        <w:pStyle w:val="ListParagraph"/>
        <w:numPr>
          <w:ilvl w:val="0"/>
          <w:numId w:val="2"/>
        </w:numPr>
        <w:spacing w:after="80"/>
      </w:pPr>
      <w:r>
        <w:t xml:space="preserve">Conversion Rules — the full mechanical ruleset (Class mapping, level bands, Skill tiers, Horror Ranks, etc.)</w:t>
      </w:r>
    </w:p>
    <w:p>
      <w:pPr>
        <w:pStyle w:val="ListParagraph"/>
        <w:numPr>
          <w:ilvl w:val="0"/>
          <w:numId w:val="2"/>
        </w:numPr>
        <w:spacing w:after="80"/>
      </w:pPr>
      <w:r>
        <w:t xml:space="preserve">AI Continuation Prompt — paste into any AI chat to get help applying the rules to new characters/arcs, indefinitely, without needing this conversation's history</w:t>
      </w:r>
    </w:p>
    <w:p>
      <w:pPr>
        <w:pStyle w:val="ListParagraph"/>
        <w:numPr>
          <w:ilvl w:val="0"/>
          <w:numId w:val="2"/>
        </w:numPr>
        <w:spacing w:after="80"/>
      </w:pPr>
      <w:r>
        <w:t xml:space="preserve">This DM Starter Kit — how to actually run the table</w:t>
      </w:r>
    </w:p>
    <w:p>
      <w:pPr>
        <w:pStyle w:val="Heading1"/>
        <w:spacing w:after="160" w:before="320"/>
      </w:pPr>
      <w:r>
        <w:t xml:space="preserve">Prep Workflow</w:t>
      </w:r>
    </w:p>
    <w:p>
      <w:pPr>
        <w:spacing w:after="160"/>
      </w:pPr>
      <w:r>
        <w:t xml:space="preserve">A repeatable loop for prepping any session, arc, or new character:</w:t>
      </w:r>
    </w:p>
    <w:p>
      <w:pPr>
        <w:pStyle w:val="ListParagraph"/>
        <w:numPr>
          <w:ilvl w:val="0"/>
          <w:numId w:val="3"/>
        </w:numPr>
        <w:spacing w:after="80"/>
      </w:pPr>
      <w:r>
        <w:t xml:space="preserve">Identify which characters, classes, or skills you need converted for the upcoming session.</w:t>
      </w:r>
    </w:p>
    <w:p>
      <w:pPr>
        <w:pStyle w:val="ListParagraph"/>
        <w:numPr>
          <w:ilvl w:val="0"/>
          <w:numId w:val="3"/>
        </w:numPr>
        <w:spacing w:after="80"/>
      </w:pPr>
      <w:r>
        <w:t xml:space="preserve">Check the community wiki (wiki.wanderinginn.com or thewanderinginn.fandom.com) for the source Class/Skill details rather than relying on memory of the books.</w:t>
      </w:r>
    </w:p>
    <w:p>
      <w:pPr>
        <w:pStyle w:val="ListParagraph"/>
        <w:numPr>
          <w:ilvl w:val="0"/>
          <w:numId w:val="3"/>
        </w:numPr>
        <w:spacing w:after="80"/>
      </w:pPr>
      <w:r>
        <w:t xml:space="preserve">Paste the AI Continuation Prompt into a chat, then ask it to convert the specific characters/arc you need — it already has the full ruleset embedded.</w:t>
      </w:r>
    </w:p>
    <w:p>
      <w:pPr>
        <w:pStyle w:val="ListParagraph"/>
        <w:numPr>
          <w:ilvl w:val="0"/>
          <w:numId w:val="3"/>
        </w:numPr>
        <w:spacing w:after="80"/>
      </w:pPr>
      <w:r>
        <w:t xml:space="preserve">Log anything genuinely new in the Rulings Log section of the Conversion Rules doc, so future sessions stay consistent.</w:t>
      </w:r>
    </w:p>
    <w:p>
      <w:pPr>
        <w:pStyle w:val="ListParagraph"/>
        <w:numPr>
          <w:ilvl w:val="0"/>
          <w:numId w:val="3"/>
        </w:numPr>
        <w:spacing w:after="80"/>
      </w:pPr>
      <w:r>
        <w:t xml:space="preserve">Translate the mechanical result into an actual PF2e stat block or PC sheet using Archives of Nethys (2e.aonprd.com) for exact feat/spell text.</w:t>
      </w:r>
    </w:p>
    <w:p>
      <w:pPr>
        <w:spacing w:after="160"/>
      </w:pPr>
      <w:r>
        <w:t xml:space="preserve">Budget this as real prep time — treat a new major NPC or a returning PC's level-up the same way you'd prep any homebrew stat block, not as a five-minute lookup.</w:t>
      </w:r>
    </w:p>
    <w:p>
      <w:pPr>
        <w:pStyle w:val="Heading1"/>
        <w:spacing w:after="160" w:before="320"/>
      </w:pPr>
      <w:r>
        <w:t xml:space="preserve">World-Building Decisions to Make Before Session Zero</w:t>
      </w:r>
    </w:p>
    <w:p>
      <w:pPr>
        <w:spacing w:after="160"/>
      </w:pPr>
      <w:r>
        <w:t xml:space="preserve">The books cover an enormous, specific world. You don't have to use all of it. Decide these up front:</w:t>
      </w:r>
    </w:p>
    <w:p>
      <w:pPr>
        <w:pStyle w:val="Heading2"/>
        <w:spacing w:after="120" w:before="240"/>
      </w:pPr>
      <w:r>
        <w:t xml:space="preserve">1. How closely do you follow canon geography and events?</w:t>
      </w:r>
    </w:p>
    <w:p>
      <w:pPr>
        <w:pStyle w:val="ListParagraph"/>
        <w:numPr>
          <w:ilvl w:val="0"/>
          <w:numId w:val="2"/>
        </w:numPr>
        <w:spacing w:after="80"/>
      </w:pPr>
      <w:r>
        <w:t xml:space="preserve">Full canon setting — same continents, cities, and general timeline, with your own original characters and plot threads slotted in.</w:t>
      </w:r>
    </w:p>
    <w:p>
      <w:pPr>
        <w:pStyle w:val="ListParagraph"/>
        <w:numPr>
          <w:ilvl w:val="0"/>
          <w:numId w:val="2"/>
        </w:numPr>
        <w:spacing w:after="80"/>
      </w:pPr>
      <w:r>
        <w:t xml:space="preserve">Same rules, new world — keep the Class/Skill system and general tone, but build your own map and history from scratch.</w:t>
      </w:r>
    </w:p>
    <w:p>
      <w:pPr>
        <w:pStyle w:val="ListParagraph"/>
        <w:numPr>
          <w:ilvl w:val="0"/>
          <w:numId w:val="2"/>
        </w:numPr>
        <w:spacing w:after="80"/>
      </w:pPr>
      <w:r>
        <w:t xml:space="preserve">Hybrid — use canon regions as a backdrop but keep the actual plot and stakes entirely your own, before or after the books' known events to avoid contradicting them.</w:t>
      </w:r>
    </w:p>
    <w:p>
      <w:pPr>
        <w:pStyle w:val="Heading2"/>
        <w:spacing w:after="120" w:before="240"/>
      </w:pPr>
      <w:r>
        <w:t xml:space="preserve">2. Spoiler management</w:t>
      </w:r>
    </w:p>
    <w:p>
      <w:pPr>
        <w:spacing w:after="160"/>
      </w:pPr>
      <w:r>
        <w:t xml:space="preserve">If any players have read the books, decide together how much overlap with canon plot/characters you want. A common approach: set your campaign in a different region or time period so returning readers don't have foreknowledge that overshadows newer players.</w:t>
      </w:r>
    </w:p>
    <w:p>
      <w:pPr>
        <w:pStyle w:val="Heading2"/>
        <w:spacing w:after="120" w:before="240"/>
      </w:pPr>
      <w:r>
        <w:t xml:space="preserve">3. Scope</w:t>
      </w:r>
    </w:p>
    <w:p>
      <w:pPr>
        <w:spacing w:after="160"/>
      </w:pPr>
      <w:r>
        <w:t xml:space="preserve">Pick a starting scale that matches your table's appetite — a single city and its immediate surroundings is plenty for a first arc. You can always expand outward; it's much harder to walk back an overly large opening scope.</w:t>
      </w:r>
    </w:p>
    <w:p>
      <w:pPr>
        <w:pStyle w:val="Heading1"/>
        <w:spacing w:after="160" w:before="320"/>
      </w:pPr>
      <w:r>
        <w:t xml:space="preserve">Session Zero Checklist</w:t>
      </w:r>
    </w:p>
    <w:p>
      <w:pPr>
        <w:pStyle w:val="ListParagraph"/>
        <w:numPr>
          <w:ilvl w:val="0"/>
          <w:numId w:val="2"/>
        </w:numPr>
        <w:spacing w:after="80"/>
      </w:pPr>
      <w:r>
        <w:t xml:space="preserve">Pitch the setting using the Player's Guide as your script — don't ad-lib the premise, keep it consistent with what players were told beforehand.</w:t>
      </w:r>
    </w:p>
    <w:p>
      <w:pPr>
        <w:pStyle w:val="ListParagraph"/>
        <w:numPr>
          <w:ilvl w:val="0"/>
          <w:numId w:val="2"/>
        </w:numPr>
        <w:spacing w:after="80"/>
      </w:pPr>
      <w:r>
        <w:t xml:space="preserve">Collect character concepts (plain-language, not mechanical) from each player.</w:t>
      </w:r>
    </w:p>
    <w:p>
      <w:pPr>
        <w:pStyle w:val="ListParagraph"/>
        <w:numPr>
          <w:ilvl w:val="0"/>
          <w:numId w:val="2"/>
        </w:numPr>
        <w:spacing w:after="80"/>
      </w:pPr>
      <w:r>
        <w:t xml:space="preserve">Convert concepts to PF2e using the framework, live or async, with players present for the translation so they can react.</w:t>
      </w:r>
    </w:p>
    <w:p>
      <w:pPr>
        <w:pStyle w:val="ListParagraph"/>
        <w:numPr>
          <w:ilvl w:val="0"/>
          <w:numId w:val="2"/>
        </w:numPr>
        <w:spacing w:after="80"/>
      </w:pPr>
      <w:r>
        <w:t xml:space="preserve">Set table expectations: tone, content lines, scheduling cadence, and how homebrew-heavy this conversion is.</w:t>
      </w:r>
    </w:p>
    <w:p>
      <w:pPr>
        <w:pStyle w:val="ListParagraph"/>
        <w:numPr>
          <w:ilvl w:val="0"/>
          <w:numId w:val="2"/>
        </w:numPr>
        <w:spacing w:after="80"/>
      </w:pPr>
      <w:r>
        <w:t xml:space="preserve">Confirm everyone understands growth may be non-linear (Counter-Leveling) and that Skill tiers determine how quickly new abilities show up.</w:t>
      </w:r>
    </w:p>
    <w:p>
      <w:pPr>
        <w:pStyle w:val="ListParagraph"/>
        <w:numPr>
          <w:ilvl w:val="0"/>
          <w:numId w:val="2"/>
        </w:numPr>
        <w:spacing w:after="80"/>
      </w:pPr>
      <w:r>
        <w:t xml:space="preserve">Agree on a spoiler policy if anyone at the table has read the source material.</w:t>
      </w:r>
    </w:p>
    <w:p>
      <w:pPr>
        <w:pStyle w:val="Heading1"/>
        <w:spacing w:after="160" w:before="320"/>
      </w:pPr>
      <w:r>
        <w:t xml:space="preserve">Encounter Building With the Power Tier System</w:t>
      </w:r>
    </w:p>
    <w:p>
      <w:pPr>
        <w:spacing w:after="160"/>
      </w:pPr>
      <w:r>
        <w:t xml:space="preserve">Converting a threat from the books (or inventing an original one in the same style) into a balanced PF2e encounter:</w:t>
      </w:r>
    </w:p>
    <w:p>
      <w:pPr>
        <w:pStyle w:val="ListParagraph"/>
        <w:numPr>
          <w:ilvl w:val="0"/>
          <w:numId w:val="3"/>
        </w:numPr>
        <w:spacing w:after="80"/>
      </w:pPr>
      <w:r>
        <w:t xml:space="preserve">Identify the threat's book-equivalent Class and level, or estimate one if it's original to your campaign.</w:t>
      </w:r>
    </w:p>
    <w:p>
      <w:pPr>
        <w:pStyle w:val="ListParagraph"/>
        <w:numPr>
          <w:ilvl w:val="0"/>
          <w:numId w:val="3"/>
        </w:numPr>
        <w:spacing w:after="80"/>
      </w:pPr>
      <w:r>
        <w:t xml:space="preserve">Apply the Class Power Tier modifier from the Conversion Rules (Standard / Elevated ×1.3 / Prestige ×2) to get an effective level.</w:t>
      </w:r>
    </w:p>
    <w:p>
      <w:pPr>
        <w:pStyle w:val="ListParagraph"/>
        <w:numPr>
          <w:ilvl w:val="0"/>
          <w:numId w:val="3"/>
        </w:numPr>
        <w:spacing w:after="80"/>
      </w:pPr>
      <w:r>
        <w:t xml:space="preserve">Convert effective level to a PF2e level using the level band table.</w:t>
      </w:r>
    </w:p>
    <w:p>
      <w:pPr>
        <w:pStyle w:val="ListParagraph"/>
        <w:numPr>
          <w:ilvl w:val="0"/>
          <w:numId w:val="3"/>
        </w:numPr>
        <w:spacing w:after="80"/>
      </w:pPr>
      <w:r>
        <w:t xml:space="preserve">Build the actual stat block at that PF2e level using standard PF2e encounter-building math (party level vs. threat level, and the normal Severe/Extreme thresholds) — the conversion gives you the right level to start from, not a full stat block.</w:t>
      </w:r>
    </w:p>
    <w:p>
      <w:pPr>
        <w:spacing w:after="160"/>
      </w:pPr>
      <w:r>
        <w:t xml:space="preserve">Quick sanity check table for common threat categories: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3300"/>
      </w:tblGrid>
      <w:tr>
        <w:trPr>
          <w:tblHeader/>
        </w:trPr>
        <w:tc>
          <w:tcPr>
            <w:tcW w:type="dxa" w:w="3200"/>
            <w:shd w:fill="D9D9D9" w:val="clear"/>
            <w:tcMar>
              <w:top w:type="dxa" w:w="80"/>
              <w:left w:type="dxa" w:w="100"/>
              <w:bottom w:type="dxa" w:w="80"/>
              <w:right w:type="dxa" w:w="100"/>
            </w:tcMar>
          </w:tcPr>
          <w:p>
            <w:r>
              <w:rPr>
                <w:b/>
                <w:bCs/>
              </w:rPr>
              <w:t xml:space="preserve">Threat category</w:t>
            </w:r>
          </w:p>
        </w:tc>
        <w:tc>
          <w:tcPr>
            <w:tcW w:type="dxa" w:w="2100"/>
            <w:shd w:fill="D9D9D9" w:val="clear"/>
            <w:tcMar>
              <w:top w:type="dxa" w:w="80"/>
              <w:left w:type="dxa" w:w="100"/>
              <w:bottom w:type="dxa" w:w="80"/>
              <w:right w:type="dxa" w:w="100"/>
            </w:tcMar>
          </w:tcPr>
          <w:p>
            <w:r>
              <w:rPr>
                <w:b/>
                <w:bCs/>
              </w:rPr>
              <w:t xml:space="preserve">Typical Power Tier</w:t>
            </w:r>
          </w:p>
        </w:tc>
        <w:tc>
          <w:tcPr>
            <w:tcW w:type="dxa" w:w="3300"/>
            <w:shd w:fill="D9D9D9" w:val="clear"/>
            <w:tcMar>
              <w:top w:type="dxa" w:w="80"/>
              <w:left w:type="dxa" w:w="100"/>
              <w:bottom w:type="dxa" w:w="80"/>
              <w:right w:type="dxa" w:w="100"/>
            </w:tcMar>
          </w:tcPr>
          <w:p>
            <w:r>
              <w:rPr>
                <w:b/>
                <w:bCs/>
              </w:rPr>
              <w:t xml:space="preserve">Rough PF2e level range</w:t>
            </w:r>
          </w:p>
        </w:tc>
      </w:tr>
      <w:tr>
        <w:tc>
          <w:tcPr>
            <w:tcW w:type="dxa" w:w="3200"/>
            <w:tcMar>
              <w:top w:type="dxa" w:w="80"/>
              <w:left w:type="dxa" w:w="100"/>
              <w:bottom w:type="dxa" w:w="80"/>
              <w:right w:type="dxa" w:w="100"/>
            </w:tcMar>
          </w:tcPr>
          <w:p>
            <w:r>
              <w:rPr>
                <w:b w:val="false"/>
                <w:bCs w:val="false"/>
              </w:rPr>
              <w:t xml:space="preserve">Local troublemaker, minor monster</w:t>
            </w:r>
          </w:p>
        </w:tc>
        <w:tc>
          <w:tcPr>
            <w:tcW w:type="dxa" w:w="2100"/>
            <w:tcMar>
              <w:top w:type="dxa" w:w="80"/>
              <w:left w:type="dxa" w:w="100"/>
              <w:bottom w:type="dxa" w:w="80"/>
              <w:right w:type="dxa" w:w="100"/>
            </w:tcMar>
          </w:tcPr>
          <w:p>
            <w:r>
              <w:rPr>
                <w:b w:val="false"/>
                <w:bCs w:val="false"/>
              </w:rPr>
              <w:t xml:space="preserve">Standard</w:t>
            </w:r>
          </w:p>
        </w:tc>
        <w:tc>
          <w:tcPr>
            <w:tcW w:type="dxa" w:w="3300"/>
            <w:tcMar>
              <w:top w:type="dxa" w:w="80"/>
              <w:left w:type="dxa" w:w="100"/>
              <w:bottom w:type="dxa" w:w="80"/>
              <w:right w:type="dxa" w:w="100"/>
            </w:tcMar>
          </w:tcPr>
          <w:p>
            <w:r>
              <w:rPr>
                <w:b w:val="false"/>
                <w:bCs w:val="false"/>
              </w:rPr>
              <w:t xml:space="preserve">1–4</w:t>
            </w:r>
          </w:p>
        </w:tc>
      </w:tr>
      <w:tr>
        <w:tc>
          <w:tcPr>
            <w:tcW w:type="dxa" w:w="3200"/>
            <w:tcMar>
              <w:top w:type="dxa" w:w="80"/>
              <w:left w:type="dxa" w:w="100"/>
              <w:bottom w:type="dxa" w:w="80"/>
              <w:right w:type="dxa" w:w="100"/>
            </w:tcMar>
          </w:tcPr>
          <w:p>
            <w:r>
              <w:rPr>
                <w:b w:val="false"/>
                <w:bCs w:val="false"/>
              </w:rPr>
              <w:t xml:space="preserve">Competent professional/soldier</w:t>
            </w:r>
          </w:p>
        </w:tc>
        <w:tc>
          <w:tcPr>
            <w:tcW w:type="dxa" w:w="2100"/>
            <w:tcMar>
              <w:top w:type="dxa" w:w="80"/>
              <w:left w:type="dxa" w:w="100"/>
              <w:bottom w:type="dxa" w:w="80"/>
              <w:right w:type="dxa" w:w="100"/>
            </w:tcMar>
          </w:tcPr>
          <w:p>
            <w:r>
              <w:rPr>
                <w:b w:val="false"/>
                <w:bCs w:val="false"/>
              </w:rPr>
              <w:t xml:space="preserve">Standard</w:t>
            </w:r>
          </w:p>
        </w:tc>
        <w:tc>
          <w:tcPr>
            <w:tcW w:type="dxa" w:w="3300"/>
            <w:tcMar>
              <w:top w:type="dxa" w:w="80"/>
              <w:left w:type="dxa" w:w="100"/>
              <w:bottom w:type="dxa" w:w="80"/>
              <w:right w:type="dxa" w:w="100"/>
            </w:tcMar>
          </w:tcPr>
          <w:p>
            <w:r>
              <w:rPr>
                <w:b w:val="false"/>
                <w:bCs w:val="false"/>
              </w:rPr>
              <w:t xml:space="preserve">3–8</w:t>
            </w:r>
          </w:p>
        </w:tc>
      </w:tr>
      <w:tr>
        <w:tc>
          <w:tcPr>
            <w:tcW w:type="dxa" w:w="3200"/>
            <w:tcMar>
              <w:top w:type="dxa" w:w="80"/>
              <w:left w:type="dxa" w:w="100"/>
              <w:bottom w:type="dxa" w:w="80"/>
              <w:right w:type="dxa" w:w="100"/>
            </w:tcMar>
          </w:tcPr>
          <w:p>
            <w:r>
              <w:rPr>
                <w:b w:val="false"/>
                <w:bCs w:val="false"/>
              </w:rPr>
              <w:t xml:space="preserve">Regional military leader, veteran adventurer</w:t>
            </w:r>
          </w:p>
        </w:tc>
        <w:tc>
          <w:tcPr>
            <w:tcW w:type="dxa" w:w="2100"/>
            <w:tcMar>
              <w:top w:type="dxa" w:w="80"/>
              <w:left w:type="dxa" w:w="100"/>
              <w:bottom w:type="dxa" w:w="80"/>
              <w:right w:type="dxa" w:w="100"/>
            </w:tcMar>
          </w:tcPr>
          <w:p>
            <w:r>
              <w:rPr>
                <w:b w:val="false"/>
                <w:bCs w:val="false"/>
              </w:rPr>
              <w:t xml:space="preserve">Elevated</w:t>
            </w:r>
          </w:p>
        </w:tc>
        <w:tc>
          <w:tcPr>
            <w:tcW w:type="dxa" w:w="3300"/>
            <w:tcMar>
              <w:top w:type="dxa" w:w="80"/>
              <w:left w:type="dxa" w:w="100"/>
              <w:bottom w:type="dxa" w:w="80"/>
              <w:right w:type="dxa" w:w="100"/>
            </w:tcMar>
          </w:tcPr>
          <w:p>
            <w:r>
              <w:rPr>
                <w:b w:val="false"/>
                <w:bCs w:val="false"/>
              </w:rPr>
              <w:t xml:space="preserve">9–15</w:t>
            </w:r>
          </w:p>
        </w:tc>
      </w:tr>
      <w:tr>
        <w:tc>
          <w:tcPr>
            <w:tcW w:type="dxa" w:w="3200"/>
            <w:tcMar>
              <w:top w:type="dxa" w:w="80"/>
              <w:left w:type="dxa" w:w="100"/>
              <w:bottom w:type="dxa" w:w="80"/>
              <w:right w:type="dxa" w:w="100"/>
            </w:tcMar>
          </w:tcPr>
          <w:p>
            <w:r>
              <w:rPr>
                <w:b w:val="false"/>
                <w:bCs w:val="false"/>
              </w:rPr>
              <w:t xml:space="preserve">Named-rank or royal-tier figure</w:t>
            </w:r>
          </w:p>
        </w:tc>
        <w:tc>
          <w:tcPr>
            <w:tcW w:type="dxa" w:w="2100"/>
            <w:tcMar>
              <w:top w:type="dxa" w:w="80"/>
              <w:left w:type="dxa" w:w="100"/>
              <w:bottom w:type="dxa" w:w="80"/>
              <w:right w:type="dxa" w:w="100"/>
            </w:tcMar>
          </w:tcPr>
          <w:p>
            <w:r>
              <w:rPr>
                <w:b w:val="false"/>
                <w:bCs w:val="false"/>
              </w:rPr>
              <w:t xml:space="preserve">Prestige</w:t>
            </w:r>
          </w:p>
        </w:tc>
        <w:tc>
          <w:tcPr>
            <w:tcW w:type="dxa" w:w="3300"/>
            <w:tcMar>
              <w:top w:type="dxa" w:w="80"/>
              <w:left w:type="dxa" w:w="100"/>
              <w:bottom w:type="dxa" w:w="80"/>
              <w:right w:type="dxa" w:w="100"/>
            </w:tcMar>
          </w:tcPr>
          <w:p>
            <w:r>
              <w:rPr>
                <w:b w:val="false"/>
                <w:bCs w:val="false"/>
              </w:rPr>
              <w:t xml:space="preserve">15–18</w:t>
            </w:r>
          </w:p>
        </w:tc>
      </w:tr>
      <w:tr>
        <w:tc>
          <w:tcPr>
            <w:tcW w:type="dxa" w:w="3200"/>
            <w:tcMar>
              <w:top w:type="dxa" w:w="80"/>
              <w:left w:type="dxa" w:w="100"/>
              <w:bottom w:type="dxa" w:w="80"/>
              <w:right w:type="dxa" w:w="100"/>
            </w:tcMar>
          </w:tcPr>
          <w:p>
            <w:r>
              <w:rPr>
                <w:b w:val="false"/>
                <w:bCs w:val="false"/>
              </w:rPr>
              <w:t xml:space="preserve">World-Category threat (dragon-tier or above)</w:t>
            </w:r>
          </w:p>
        </w:tc>
        <w:tc>
          <w:tcPr>
            <w:tcW w:type="dxa" w:w="2100"/>
            <w:tcMar>
              <w:top w:type="dxa" w:w="80"/>
              <w:left w:type="dxa" w:w="100"/>
              <w:bottom w:type="dxa" w:w="80"/>
              <w:right w:type="dxa" w:w="100"/>
            </w:tcMar>
          </w:tcPr>
          <w:p>
            <w:r>
              <w:rPr>
                <w:b w:val="false"/>
                <w:bCs w:val="false"/>
              </w:rPr>
              <w:t xml:space="preserve">reserve, don't use the standard bands</w:t>
            </w:r>
          </w:p>
        </w:tc>
        <w:tc>
          <w:tcPr>
            <w:tcW w:type="dxa" w:w="3300"/>
            <w:tcMar>
              <w:top w:type="dxa" w:w="80"/>
              <w:left w:type="dxa" w:w="100"/>
              <w:bottom w:type="dxa" w:w="80"/>
              <w:right w:type="dxa" w:w="100"/>
            </w:tcMar>
          </w:tcPr>
          <w:p>
            <w:r>
              <w:rPr>
                <w:b w:val="false"/>
                <w:bCs w:val="false"/>
              </w:rPr>
              <w:t xml:space="preserve">19–20</w:t>
            </w:r>
          </w:p>
        </w:tc>
      </w:tr>
    </w:tbl>
    <w:p>
      <w:pPr>
        <w:spacing w:after="160"/>
      </w:pPr>
      <w:r>
        <w:t xml:space="preserve"/>
      </w:r>
    </w:p>
    <w:p>
      <w:pPr>
        <w:pStyle w:val="Heading1"/>
        <w:spacing w:after="160" w:before="320"/>
      </w:pPr>
      <w:r>
        <w:t xml:space="preserve">Running Class/Skill Conversion at the Table</w:t>
      </w:r>
    </w:p>
    <w:p>
      <w:pPr>
        <w:spacing w:after="160"/>
      </w:pPr>
      <w:r>
        <w:t xml:space="preserve">For quick, in-session calls when a player does something unplanned, use this condensed version instead of stopping to look up the full document: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900"/>
        <w:gridCol w:w="4700"/>
      </w:tblGrid>
      <w:tr>
        <w:trPr>
          <w:tblHeader/>
        </w:trPr>
        <w:tc>
          <w:tcPr>
            <w:tcW w:type="dxa" w:w="3900"/>
            <w:shd w:fill="D9D9D9" w:val="clear"/>
            <w:tcMar>
              <w:top w:type="dxa" w:w="80"/>
              <w:left w:type="dxa" w:w="100"/>
              <w:bottom w:type="dxa" w:w="80"/>
              <w:right w:type="dxa" w:w="100"/>
            </w:tcMar>
          </w:tcPr>
          <w:p>
            <w:r>
              <w:rPr>
                <w:b/>
                <w:bCs/>
              </w:rPr>
              <w:t xml:space="preserve">Situation</w:t>
            </w:r>
          </w:p>
        </w:tc>
        <w:tc>
          <w:tcPr>
            <w:tcW w:type="dxa" w:w="4700"/>
            <w:shd w:fill="D9D9D9" w:val="clear"/>
            <w:tcMar>
              <w:top w:type="dxa" w:w="80"/>
              <w:left w:type="dxa" w:w="100"/>
              <w:bottom w:type="dxa" w:w="80"/>
              <w:right w:type="dxa" w:w="100"/>
            </w:tcMar>
          </w:tcPr>
          <w:p>
            <w:r>
              <w:rPr>
                <w:b/>
                <w:bCs/>
              </w:rPr>
              <w:t xml:space="preserve">Quick ruling</w:t>
            </w:r>
          </w:p>
        </w:tc>
      </w:tr>
      <w:tr>
        <w:tc>
          <w:tcPr>
            <w:tcW w:type="dxa" w:w="3900"/>
            <w:tcMar>
              <w:top w:type="dxa" w:w="80"/>
              <w:left w:type="dxa" w:w="100"/>
              <w:bottom w:type="dxa" w:w="80"/>
              <w:right w:type="dxa" w:w="100"/>
            </w:tcMar>
          </w:tcPr>
          <w:p>
            <w:r>
              <w:rPr>
                <w:b w:val="false"/>
                <w:bCs w:val="false"/>
              </w:rPr>
              <w:t xml:space="preserve">Player's action doesn't match any existing feat</w:t>
            </w:r>
          </w:p>
        </w:tc>
        <w:tc>
          <w:tcPr>
            <w:tcW w:type="dxa" w:w="4700"/>
            <w:tcMar>
              <w:top w:type="dxa" w:w="80"/>
              <w:left w:type="dxa" w:w="100"/>
              <w:bottom w:type="dxa" w:w="80"/>
              <w:right w:type="dxa" w:w="100"/>
            </w:tcMar>
          </w:tcPr>
          <w:p>
            <w:r>
              <w:rPr>
                <w:b w:val="false"/>
                <w:bCs w:val="false"/>
              </w:rPr>
              <w:t xml:space="preserve">Reskin the closest existing feat/spell on the spot; formalize it after session if it recurs</w:t>
            </w:r>
          </w:p>
        </w:tc>
      </w:tr>
      <w:tr>
        <w:tc>
          <w:tcPr>
            <w:tcW w:type="dxa" w:w="3900"/>
            <w:tcMar>
              <w:top w:type="dxa" w:w="80"/>
              <w:left w:type="dxa" w:w="100"/>
              <w:bottom w:type="dxa" w:w="80"/>
              <w:right w:type="dxa" w:w="100"/>
            </w:tcMar>
          </w:tcPr>
          <w:p>
            <w:r>
              <w:rPr>
                <w:b w:val="false"/>
                <w:bCs w:val="false"/>
              </w:rPr>
              <w:t xml:space="preserve">A new Skill comes up mid-scene</w:t>
            </w:r>
          </w:p>
        </w:tc>
        <w:tc>
          <w:tcPr>
            <w:tcW w:type="dxa" w:w="4700"/>
            <w:tcMar>
              <w:top w:type="dxa" w:w="80"/>
              <w:left w:type="dxa" w:w="100"/>
              <w:bottom w:type="dxa" w:w="80"/>
              <w:right w:type="dxa" w:w="100"/>
            </w:tcMar>
          </w:tcPr>
          <w:p>
            <w:r>
              <w:rPr>
                <w:b w:val="false"/>
                <w:bCs w:val="false"/>
              </w:rPr>
              <w:t xml:space="preserve">Apply the 3-question tier checklist from the Conversion Rules; default to Tier 1 (no mechanical weight) if genuinely unsure, and revisit later</w:t>
            </w:r>
          </w:p>
        </w:tc>
      </w:tr>
      <w:tr>
        <w:tc>
          <w:tcPr>
            <w:tcW w:type="dxa" w:w="3900"/>
            <w:tcMar>
              <w:top w:type="dxa" w:w="80"/>
              <w:left w:type="dxa" w:w="100"/>
              <w:bottom w:type="dxa" w:w="80"/>
              <w:right w:type="dxa" w:w="100"/>
            </w:tcMar>
          </w:tcPr>
          <w:p>
            <w:r>
              <w:rPr>
                <w:b w:val="false"/>
                <w:bCs w:val="false"/>
              </w:rPr>
              <w:t xml:space="preserve">Player wants a second class concept mid-campaign</w:t>
            </w:r>
          </w:p>
        </w:tc>
        <w:tc>
          <w:tcPr>
            <w:tcW w:type="dxa" w:w="4700"/>
            <w:tcMar>
              <w:top w:type="dxa" w:w="80"/>
              <w:left w:type="dxa" w:w="100"/>
              <w:bottom w:type="dxa" w:w="80"/>
              <w:right w:type="dxa" w:w="100"/>
            </w:tcMar>
          </w:tcPr>
          <w:p>
            <w:r>
              <w:rPr>
                <w:b w:val="false"/>
                <w:bCs w:val="false"/>
              </w:rPr>
              <w:t xml:space="preserve">One Archetype slot per the multi-class rule — if they already have one, the new concept stays narrative until the first is retired or a major milestone justifies a second</w:t>
            </w:r>
          </w:p>
        </w:tc>
      </w:tr>
      <w:tr>
        <w:tc>
          <w:tcPr>
            <w:tcW w:type="dxa" w:w="3900"/>
            <w:tcMar>
              <w:top w:type="dxa" w:w="80"/>
              <w:left w:type="dxa" w:w="100"/>
              <w:bottom w:type="dxa" w:w="80"/>
              <w:right w:type="dxa" w:w="100"/>
            </w:tcMar>
          </w:tcPr>
          <w:p>
            <w:r>
              <w:rPr>
                <w:b w:val="false"/>
                <w:bCs w:val="false"/>
              </w:rPr>
              <w:t xml:space="preserve">Party survives an unwinnable-looking fight</w:t>
            </w:r>
          </w:p>
        </w:tc>
        <w:tc>
          <w:tcPr>
            <w:tcW w:type="dxa" w:w="4700"/>
            <w:tcMar>
              <w:top w:type="dxa" w:w="80"/>
              <w:left w:type="dxa" w:w="100"/>
              <w:bottom w:type="dxa" w:w="80"/>
              <w:right w:type="dxa" w:w="100"/>
            </w:tcMar>
          </w:tcPr>
          <w:p>
            <w:r>
              <w:rPr>
                <w:b w:val="false"/>
                <w:bCs w:val="false"/>
              </w:rPr>
              <w:t xml:space="preserve">Counter-Leveling — award a level immediately, on top of normal pacing</w:t>
            </w:r>
          </w:p>
        </w:tc>
      </w:tr>
    </w:tbl>
    <w:p>
      <w:pPr>
        <w:spacing w:after="160"/>
      </w:pPr>
      <w:r>
        <w:t xml:space="preserve"/>
      </w:r>
    </w:p>
    <w:p>
      <w:pPr>
        <w:pStyle w:val="Heading1"/>
        <w:spacing w:after="160" w:before="320"/>
      </w:pPr>
      <w:r>
        <w:t xml:space="preserve">Planning Your First Session</w:t>
      </w:r>
    </w:p>
    <w:p>
      <w:pPr>
        <w:spacing w:after="160"/>
      </w:pPr>
      <w:r>
        <w:t xml:space="preserve">A reliable structure for an opening session in this setting, regardless of which world-building option you picked:</w:t>
      </w:r>
    </w:p>
    <w:p>
      <w:pPr>
        <w:pStyle w:val="ListParagraph"/>
        <w:numPr>
          <w:ilvl w:val="0"/>
          <w:numId w:val="3"/>
        </w:numPr>
        <w:spacing w:after="80"/>
      </w:pPr>
      <w:r>
        <w:t xml:space="preserve">Start small and grounded — a single location (an inn, a guild hall, a village) works well as a home base, mirroring the source material's own structure of starting hyper-local before the world expands.</w:t>
      </w:r>
    </w:p>
    <w:p>
      <w:pPr>
        <w:pStyle w:val="ListParagraph"/>
        <w:numPr>
          <w:ilvl w:val="0"/>
          <w:numId w:val="3"/>
        </w:numPr>
        <w:spacing w:after="80"/>
      </w:pPr>
      <w:r>
        <w:t xml:space="preserve">Introduce the Class/Skill system diegetically through play, not exposition — let a PC get their first in-fiction notification rather than explaining the system in narration.</w:t>
      </w:r>
    </w:p>
    <w:p>
      <w:pPr>
        <w:pStyle w:val="ListParagraph"/>
        <w:numPr>
          <w:ilvl w:val="0"/>
          <w:numId w:val="3"/>
        </w:numPr>
        <w:spacing w:after="80"/>
      </w:pPr>
      <w:r>
        <w:t xml:space="preserve">Give the party an early problem that's solvable with cleverness and their stated concepts, not just combat — this sets tone expectations matching the source material's mix of danger and resourcefulness.</w:t>
      </w:r>
    </w:p>
    <w:p>
      <w:pPr>
        <w:pStyle w:val="ListParagraph"/>
        <w:numPr>
          <w:ilvl w:val="0"/>
          <w:numId w:val="3"/>
        </w:numPr>
        <w:spacing w:after="80"/>
      </w:pPr>
      <w:r>
        <w:t xml:space="preserve">End the session on a hook that expands the world slightly — a rumor, a traveler, a threat on the horizon — without committing to full scope yet.</w:t>
      </w:r>
    </w:p>
    <w:p>
      <w:pPr>
        <w:pStyle w:val="Heading1"/>
        <w:spacing w:after="160" w:before="320"/>
      </w:pPr>
      <w:r>
        <w:t xml:space="preserve">Long-Term Campaign Structure</w:t>
      </w:r>
    </w:p>
    <w:p>
      <w:pPr>
        <w:spacing w:after="160"/>
      </w:pPr>
      <w:r>
        <w:t xml:space="preserve">To keep this framework usable across a multi-year campaign:</w:t>
      </w:r>
    </w:p>
    <w:p>
      <w:pPr>
        <w:pStyle w:val="ListParagraph"/>
        <w:numPr>
          <w:ilvl w:val="0"/>
          <w:numId w:val="2"/>
        </w:numPr>
        <w:spacing w:after="80"/>
      </w:pPr>
      <w:r>
        <w:t xml:space="preserve">Treat each in-fiction arc (a few sessions to a few months of real time) as a unit — convert its cast and threats together using the AI Continuation Prompt, and log the results.</w:t>
      </w:r>
    </w:p>
    <w:p>
      <w:pPr>
        <w:pStyle w:val="ListParagraph"/>
        <w:numPr>
          <w:ilvl w:val="0"/>
          <w:numId w:val="2"/>
        </w:numPr>
        <w:spacing w:after="80"/>
      </w:pPr>
      <w:r>
        <w:t xml:space="preserve">Revisit the level-band and Power Tier tables periodically against your actual party level — they're deliberately described as a starting point, not fixed law, in the Conversion Rules doc.</w:t>
      </w:r>
    </w:p>
    <w:p>
      <w:pPr>
        <w:pStyle w:val="ListParagraph"/>
        <w:numPr>
          <w:ilvl w:val="0"/>
          <w:numId w:val="2"/>
        </w:numPr>
        <w:spacing w:after="80"/>
      </w:pPr>
      <w:r>
        <w:t xml:space="preserve">Keep the Rulings Log current. It's the single source of truth that keeps five years of sessions internally consistent, especially if you take breaks between arcs.</w:t>
      </w:r>
    </w:p>
    <w:p>
      <w:pPr>
        <w:pStyle w:val="ListParagraph"/>
        <w:numPr>
          <w:ilvl w:val="0"/>
          <w:numId w:val="2"/>
        </w:numPr>
        <w:spacing w:after="80"/>
      </w:pPr>
      <w:r>
        <w:t xml:space="preserve">It's fine to deviate from the source material's plot entirely once your table has its own momentum — the framework is about how classes and skills work mechanically, not a mandate to retell the books.</w:t>
      </w:r>
    </w:p>
    <w:p>
      <w:pPr>
        <w:pStyle w:val="Heading1"/>
        <w:spacing w:after="160" w:before="320"/>
      </w:pPr>
      <w:r>
        <w:t xml:space="preserve">Appendix — One-Page Quick Reference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shd w:fill="D9D9D9" w:val="clear"/>
            <w:tcMar>
              <w:top w:type="dxa" w:w="80"/>
              <w:left w:type="dxa" w:w="100"/>
              <w:bottom w:type="dxa" w:w="80"/>
              <w:right w:type="dxa" w:w="100"/>
            </w:tcMar>
          </w:tcPr>
          <w:p>
            <w:r>
              <w:rPr>
                <w:b/>
                <w:bCs/>
              </w:rPr>
              <w:t xml:space="preserve">Rule</w:t>
            </w:r>
          </w:p>
        </w:tc>
        <w:tc>
          <w:tcPr>
            <w:tcW w:type="dxa" w:w="6100"/>
            <w:shd w:fill="D9D9D9" w:val="clear"/>
            <w:tcMar>
              <w:top w:type="dxa" w:w="80"/>
              <w:left w:type="dxa" w:w="100"/>
              <w:bottom w:type="dxa" w:w="80"/>
              <w:right w:type="dxa" w:w="100"/>
            </w:tcMar>
          </w:tcPr>
          <w:p>
            <w:r>
              <w:rPr>
                <w:b/>
                <w:bCs/>
              </w:rPr>
              <w:t xml:space="preserve">One-line version</w:t>
            </w:r>
          </w:p>
        </w:tc>
      </w:tr>
      <w:tr>
        <w:tc>
          <w:tcPr>
            <w:tcW w:type="dxa" w:w="2500"/>
            <w:tcMar>
              <w:top w:type="dxa" w:w="80"/>
              <w:left w:type="dxa" w:w="100"/>
              <w:bottom w:type="dxa" w:w="80"/>
              <w:right w:type="dxa" w:w="100"/>
            </w:tcMar>
          </w:tcPr>
          <w:p>
            <w:r>
              <w:rPr>
                <w:b w:val="false"/>
                <w:bCs w:val="false"/>
              </w:rPr>
              <w:t xml:space="preserve">Class mapping</w:t>
            </w:r>
          </w:p>
        </w:tc>
        <w:tc>
          <w:tcPr>
            <w:tcW w:type="dxa" w:w="6100"/>
            <w:tcMar>
              <w:top w:type="dxa" w:w="80"/>
              <w:left w:type="dxa" w:w="100"/>
              <w:bottom w:type="dxa" w:w="80"/>
              <w:right w:type="dxa" w:w="100"/>
            </w:tcMar>
          </w:tcPr>
          <w:p>
            <w:r>
              <w:rPr>
                <w:b w:val="false"/>
                <w:bCs w:val="false"/>
              </w:rPr>
              <w:t xml:space="preserve">Match feat-chain shape, not name. Specialization → subclass/archetype. Comma-class → multiclass archetype. Prestige class → gated class feats.</w:t>
            </w:r>
          </w:p>
        </w:tc>
      </w:tr>
      <w:tr>
        <w:tc>
          <w:tcPr>
            <w:tcW w:type="dxa" w:w="2500"/>
            <w:tcMar>
              <w:top w:type="dxa" w:w="80"/>
              <w:left w:type="dxa" w:w="100"/>
              <w:bottom w:type="dxa" w:w="80"/>
              <w:right w:type="dxa" w:w="100"/>
            </w:tcMar>
          </w:tcPr>
          <w:p>
            <w:r>
              <w:rPr>
                <w:b w:val="false"/>
                <w:bCs w:val="false"/>
              </w:rPr>
              <w:t xml:space="preserve">Level conversion</w:t>
            </w:r>
          </w:p>
        </w:tc>
        <w:tc>
          <w:tcPr>
            <w:tcW w:type="dxa" w:w="6100"/>
            <w:tcMar>
              <w:top w:type="dxa" w:w="80"/>
              <w:left w:type="dxa" w:w="100"/>
              <w:bottom w:type="dxa" w:w="80"/>
              <w:right w:type="dxa" w:w="100"/>
            </w:tcMar>
          </w:tcPr>
          <w:p>
            <w:r>
              <w:rPr>
                <w:b w:val="false"/>
                <w:bCs w:val="false"/>
              </w:rPr>
              <w:t xml:space="preserve">Book level × Power Tier modifier → convert via band table (Standard / Elevated ×1.3 / Prestige ×2).</w:t>
            </w:r>
          </w:p>
        </w:tc>
      </w:tr>
      <w:tr>
        <w:tc>
          <w:tcPr>
            <w:tcW w:type="dxa" w:w="2500"/>
            <w:tcMar>
              <w:top w:type="dxa" w:w="80"/>
              <w:left w:type="dxa" w:w="100"/>
              <w:bottom w:type="dxa" w:w="80"/>
              <w:right w:type="dxa" w:w="100"/>
            </w:tcMar>
          </w:tcPr>
          <w:p>
            <w:r>
              <w:rPr>
                <w:b w:val="false"/>
                <w:bCs w:val="false"/>
              </w:rPr>
              <w:t xml:space="preserve">Multi-class characters</w:t>
            </w:r>
          </w:p>
        </w:tc>
        <w:tc>
          <w:tcPr>
            <w:tcW w:type="dxa" w:w="6100"/>
            <w:tcMar>
              <w:top w:type="dxa" w:w="80"/>
              <w:left w:type="dxa" w:w="100"/>
              <w:bottom w:type="dxa" w:w="80"/>
              <w:right w:type="dxa" w:w="100"/>
            </w:tcMar>
          </w:tcPr>
          <w:p>
            <w:r>
              <w:rPr>
                <w:b w:val="false"/>
                <w:bCs w:val="false"/>
              </w:rPr>
              <w:t xml:space="preserve">1 full class + 1 archetype max. Everything else is narrative-only.</w:t>
            </w:r>
          </w:p>
        </w:tc>
      </w:tr>
      <w:tr>
        <w:tc>
          <w:tcPr>
            <w:tcW w:type="dxa" w:w="2500"/>
            <w:tcMar>
              <w:top w:type="dxa" w:w="80"/>
              <w:left w:type="dxa" w:w="100"/>
              <w:bottom w:type="dxa" w:w="80"/>
              <w:right w:type="dxa" w:w="100"/>
            </w:tcMar>
          </w:tcPr>
          <w:p>
            <w:r>
              <w:rPr>
                <w:b w:val="false"/>
                <w:bCs w:val="false"/>
              </w:rPr>
              <w:t xml:space="preserve">Skill tiers</w:t>
            </w:r>
          </w:p>
        </w:tc>
        <w:tc>
          <w:tcPr>
            <w:tcW w:type="dxa" w:w="6100"/>
            <w:tcMar>
              <w:top w:type="dxa" w:w="80"/>
              <w:left w:type="dxa" w:w="100"/>
              <w:bottom w:type="dxa" w:w="80"/>
              <w:right w:type="dxa" w:w="100"/>
            </w:tcMar>
          </w:tcPr>
          <w:p>
            <w:r>
              <w:rPr>
                <w:b w:val="false"/>
                <w:bCs w:val="false"/>
              </w:rPr>
              <w:t xml:space="preserve">Tier 1 = flavor/Skill Feat. Tier 2 = reskinned Class Feat. Tier 3 = milestone-gated custom ability.</w:t>
            </w:r>
          </w:p>
        </w:tc>
      </w:tr>
      <w:tr>
        <w:tc>
          <w:tcPr>
            <w:tcW w:type="dxa" w:w="2500"/>
            <w:tcMar>
              <w:top w:type="dxa" w:w="80"/>
              <w:left w:type="dxa" w:w="100"/>
              <w:bottom w:type="dxa" w:w="80"/>
              <w:right w:type="dxa" w:w="100"/>
            </w:tcMar>
          </w:tcPr>
          <w:p>
            <w:r>
              <w:rPr>
                <w:b w:val="false"/>
                <w:bCs w:val="false"/>
              </w:rPr>
              <w:t xml:space="preserve">Horror Ranks</w:t>
            </w:r>
          </w:p>
        </w:tc>
        <w:tc>
          <w:tcPr>
            <w:tcW w:type="dxa" w:w="6100"/>
            <w:tcMar>
              <w:top w:type="dxa" w:w="80"/>
              <w:left w:type="dxa" w:w="100"/>
              <w:bottom w:type="dxa" w:w="80"/>
              <w:right w:type="dxa" w:w="100"/>
            </w:tcMar>
          </w:tcPr>
          <w:p>
            <w:r>
              <w:rPr>
                <w:b w:val="false"/>
                <w:bCs w:val="false"/>
              </w:rPr>
              <w:t xml:space="preserve">4-stage clock, suppresses one feat per stage, not literal level loss.</w:t>
            </w:r>
          </w:p>
        </w:tc>
      </w:tr>
      <w:tr>
        <w:tc>
          <w:tcPr>
            <w:tcW w:type="dxa" w:w="2500"/>
            <w:tcMar>
              <w:top w:type="dxa" w:w="80"/>
              <w:left w:type="dxa" w:w="100"/>
              <w:bottom w:type="dxa" w:w="80"/>
              <w:right w:type="dxa" w:w="100"/>
            </w:tcMar>
          </w:tcPr>
          <w:p>
            <w:r>
              <w:rPr>
                <w:b w:val="false"/>
                <w:bCs w:val="false"/>
              </w:rPr>
              <w:t xml:space="preserve">Counter-Leveling</w:t>
            </w:r>
          </w:p>
        </w:tc>
        <w:tc>
          <w:tcPr>
            <w:tcW w:type="dxa" w:w="6100"/>
            <w:tcMar>
              <w:top w:type="dxa" w:w="80"/>
              <w:left w:type="dxa" w:w="100"/>
              <w:bottom w:type="dxa" w:w="80"/>
              <w:right w:type="dxa" w:w="100"/>
            </w:tcMar>
          </w:tcPr>
          <w:p>
            <w:r>
              <w:rPr>
                <w:b w:val="false"/>
                <w:bCs w:val="false"/>
              </w:rPr>
              <w:t xml:space="preserve">Survive a fight 2+ levels over your head → free level, on the spot.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2026-07-24T21:57:24.967Z</dcterms:created>
  <dcterms:modified xsi:type="dcterms:W3CDTF">2026-07-24T21:57:24.969Z</dcterms:modified>
</cp:coreProperties>
</file>

<file path=docProps/custom.xml><?xml version="1.0" encoding="utf-8"?>
<Properties xmlns="http://schemas.openxmlformats.org/officeDocument/2006/custom-properties" xmlns:vt="http://schemas.openxmlformats.org/officeDocument/2006/docPropsVTypes"/>
</file>