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bookmarkStart w:id="37" w:name="_GoBack"/>
      <w:bookmarkEnd w:id="37"/>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w:t>
      </w:r>
      <w:r>
        <w:rPr>
          <w:rFonts w:hint="default" w:ascii="Times New Roman" w:hAnsi="Times New Roman" w:eastAsia="Times New Roman" w:cs="Times New Roman"/>
          <w:sz w:val="24"/>
          <w:szCs w:val="24"/>
          <w:shd w:val="clear" w:fill="auto"/>
          <w:rtl w:val="0"/>
          <w:lang w:val="en-GB"/>
        </w:rPr>
        <w:t xml:space="preserve">body) </w:t>
      </w:r>
      <w:r>
        <w:rPr>
          <w:rFonts w:hint="default" w:ascii="Times New Roman" w:hAnsi="Times New Roman" w:eastAsia="Times New Roman" w:cs="Times New Roman"/>
          <w:sz w:val="24"/>
          <w:szCs w:val="24"/>
          <w:shd w:val="clear" w:fill="auto"/>
          <w:rtl w:val="0"/>
          <w:lang w:val="el-GR"/>
        </w:rPr>
        <w:t>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επομένως λαμβάνουν σήματα από γειτονικούς νευρώνες. Φορείς πληροφορίας είναι ηλεκτρικοί παλμοί.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51C0CF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lang w:val="el-GR"/>
        </w:rPr>
        <w:t>Παρόλο</w:t>
      </w:r>
      <w:r>
        <w:rPr>
          <w:rFonts w:hint="default" w:ascii="Times New Roman" w:hAnsi="Times New Roman" w:eastAsia="Times New Roman" w:cs="Times New Roman"/>
          <w:sz w:val="24"/>
          <w:szCs w:val="24"/>
          <w:rtl w:val="0"/>
          <w:lang w:val="el-GR"/>
        </w:rPr>
        <w:t xml:space="preserve"> που ο χρόνος απόκρισης των βιολογικών νευρώνων </w:t>
      </w:r>
      <w:r>
        <w:rPr>
          <w:rFonts w:hint="default" w:ascii="Times New Roman" w:hAnsi="Times New Roman" w:eastAsia="Times New Roman" w:cs="Times New Roman"/>
          <w:sz w:val="24"/>
          <w:szCs w:val="24"/>
          <w:rtl w:val="0"/>
          <w:lang w:val="en-GB"/>
        </w:rPr>
        <w:t>είναι</w:t>
      </w:r>
      <w:r>
        <w:rPr>
          <w:rFonts w:hint="default" w:ascii="Times New Roman" w:hAnsi="Times New Roman" w:eastAsia="Times New Roman" w:cs="Times New Roman"/>
          <w:sz w:val="24"/>
          <w:szCs w:val="24"/>
          <w:rtl w:val="0"/>
          <w:lang w:val="el-GR"/>
        </w:rPr>
        <w:t xml:space="preserve"> αρκετά μικρός - της τάξης των χιλιοστών του δευτερολέπτου (</w:t>
      </w:r>
      <w:r>
        <w:rPr>
          <w:rFonts w:hint="default" w:ascii="Times New Roman" w:hAnsi="Times New Roman" w:eastAsia="Times New Roman" w:cs="Times New Roman"/>
          <w:sz w:val="24"/>
          <w:szCs w:val="24"/>
          <w:rtl w:val="0"/>
          <w:lang w:val="en-GB"/>
        </w:rPr>
        <w:t xml:space="preserve">msec), </w:t>
      </w:r>
      <w:r>
        <w:rPr>
          <w:rFonts w:hint="default" w:ascii="Times New Roman" w:hAnsi="Times New Roman" w:eastAsia="Times New Roman" w:cs="Times New Roman"/>
          <w:sz w:val="24"/>
          <w:szCs w:val="24"/>
          <w:rtl w:val="0"/>
          <w:lang w:val="el-GR"/>
        </w:rPr>
        <w:t xml:space="preserve">ο εγκέφαλος είναι σε θέση να λαμβάνει πολύπλοκες αποφάσεις εκπληκτικά γρήγορα.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cs="Times New Roman"/>
          <w:sz w:val="24"/>
          <w:szCs w:val="24"/>
          <w:rtl w:val="0"/>
          <w:lang w:val="en-GB"/>
        </w:rPr>
        <w:t xml:space="preserve"> [7</w:t>
      </w:r>
      <w:r>
        <w:rPr>
          <w:rFonts w:hint="default" w:ascii="Times New Roman" w:hAnsi="Times New Roman" w:eastAsia="Times New Roman" w:cs="Times New Roman"/>
          <w:sz w:val="24"/>
          <w:szCs w:val="24"/>
          <w:rtl w:val="0"/>
          <w:lang w:val="el-GR"/>
        </w:rPr>
        <w:t>, 12</w:t>
      </w:r>
      <w:r>
        <w:rPr>
          <w:rFonts w:hint="default" w:ascii="Times New Roman" w:hAnsi="Times New Roman" w:eastAsia="Times New Roman" w:cs="Times New Roman"/>
          <w:sz w:val="24"/>
          <w:szCs w:val="24"/>
          <w:rtl w:val="0"/>
          <w:lang w:val="en-GB"/>
        </w:rPr>
        <w:t>]</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950B59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Τα ΤΝΔ βασίζονται στη λειτουργία του ανθρώπινου εγκεφάλου, και έτσι η πρόκληση που αντιμετωπίζουν είναι η εύρεση κατάλληλων αλγορίθμων εκπαίδευσης των δικτύων και ανάκλησης της πληροφορίας που περιέχεται προκειμένου να προσομοιάζονται ευφυείς διαδικασίες. Για αυτόν τον λόγο,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μία διαδικασία που μπορεί να κατηγοριοποιηθεί βάσει της λειτουργίας τους σε αυτή της μάθησης με εκπαιδευτή και αυτή χωρίς εκπαιδευτή. </w:t>
      </w:r>
    </w:p>
    <w:p w14:paraId="5A794548">
      <w:pPr>
        <w:ind w:right="282"/>
        <w:jc w:val="both"/>
        <w:rPr>
          <w:rFonts w:hint="default" w:ascii="Times New Roman" w:hAnsi="Times New Roman"/>
          <w:sz w:val="24"/>
          <w:szCs w:val="24"/>
          <w:u w:val="single"/>
          <w:lang w:val="en-GB"/>
        </w:rPr>
      </w:pPr>
      <w:r>
        <w:rPr>
          <w:rFonts w:hint="default" w:ascii="Times New Roman" w:hAnsi="Times New Roman"/>
          <w:sz w:val="24"/>
          <w:szCs w:val="24"/>
          <w:lang w:val="el-GR"/>
        </w:rPr>
        <w:t xml:space="preserve"> Στην περίπτωση της μάθησης χωρίς εκπαιδευτή, δεν υπάρχει εκπαιδευτής που να επιβλέπει τη διαδικασία της μάθησης και υπάρχουν δύο υποκατηγορίες μάθησης, ενισχυτική και η μη επιβλεπόμενη.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w:t>
      </w:r>
      <w:r>
        <w:rPr>
          <w:rFonts w:hint="default" w:ascii="Times New Roman" w:hAnsi="Times New Roman"/>
          <w:sz w:val="24"/>
          <w:szCs w:val="24"/>
          <w:lang w:val="en-GB"/>
        </w:rPr>
        <w:t xml:space="preserve">  (Haykin, 2010) </w:t>
      </w:r>
      <w:r>
        <w:rPr>
          <w:rFonts w:hint="default" w:ascii="Times New Roman" w:hAnsi="Times New Roman"/>
          <w:sz w:val="24"/>
          <w:szCs w:val="24"/>
          <w:lang w:val="el-GR"/>
        </w:rPr>
        <w:t xml:space="preserve">Σύμφωνα με τον Διαμαντάρα, η μάθηση χωρίς επίβλεψη μπορεί να κατηγοριοποιηθεί στα συσχετιστικά μοντέλα, γνωστά και με τον κανόνα του </w:t>
      </w:r>
      <w:r>
        <w:rPr>
          <w:rFonts w:hint="default" w:ascii="Times New Roman" w:hAnsi="Times New Roman"/>
          <w:sz w:val="24"/>
          <w:szCs w:val="24"/>
          <w:lang w:val="en-GB"/>
        </w:rPr>
        <w:t>Hebb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PCA, ICA) </w:t>
      </w:r>
      <w:r>
        <w:rPr>
          <w:rFonts w:hint="default" w:ascii="Times New Roman" w:hAnsi="Times New Roman"/>
          <w:sz w:val="24"/>
          <w:szCs w:val="24"/>
          <w:lang w:val="el-GR"/>
        </w:rPr>
        <w:t xml:space="preserve">αλλά και στα ανταγωνιστικά μοντέλα όπως τα δίκτυα </w:t>
      </w:r>
      <w:r>
        <w:rPr>
          <w:rFonts w:hint="default" w:ascii="Times New Roman" w:hAnsi="Times New Roman"/>
          <w:sz w:val="24"/>
          <w:szCs w:val="24"/>
          <w:lang w:val="en-GB"/>
        </w:rPr>
        <w:t xml:space="preserve">Kohonen (SOM), Learning VQ </w:t>
      </w:r>
      <w:r>
        <w:rPr>
          <w:rFonts w:hint="default" w:ascii="Times New Roman" w:hAnsi="Times New Roman"/>
          <w:sz w:val="24"/>
          <w:szCs w:val="24"/>
          <w:lang w:val="el-GR"/>
        </w:rPr>
        <w:t xml:space="preserve">και </w:t>
      </w:r>
      <w:r>
        <w:rPr>
          <w:rFonts w:hint="default" w:ascii="Times New Roman" w:hAnsi="Times New Roman"/>
          <w:sz w:val="24"/>
          <w:szCs w:val="24"/>
          <w:lang w:val="en-GB"/>
        </w:rPr>
        <w:t>ART. [2]</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μάθηση με εκπαιδευτή αναφέρεται επίσης ως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εκπαίδευσης προτύπων έχοντας αντιστοίχηση μεταξύ ενός σήματος εισόδου και την αντίστοιχη επιθυμητή απόκριση. Αυτή η πληροφορία είναι γνωστή και ως </w:t>
      </w:r>
      <w:r>
        <w:rPr>
          <w:rFonts w:hint="default" w:ascii="Times New Roman" w:hAnsi="Times New Roman"/>
          <w:sz w:val="24"/>
          <w:szCs w:val="24"/>
          <w:lang w:val="en-GB"/>
        </w:rPr>
        <w:t>a-priori (</w:t>
      </w:r>
      <w:r>
        <w:rPr>
          <w:rFonts w:hint="default" w:ascii="Times New Roman" w:hAnsi="Times New Roman"/>
          <w:sz w:val="24"/>
          <w:szCs w:val="24"/>
          <w:lang w:val="el-GR"/>
        </w:rPr>
        <w:t xml:space="preserve">εκ των προτέρων). Ωστόσο το περιβάλλον είναι άγνωστο στο νευρωνικό δίκτυο. Η εργασία της συλλογής όμως αυτού του δείγματος είναι χρονοβόρα και ακριβή, ειδικά όταν αντιμετωπίζουμε μεγάλης κλίμακας προβλήματα μάθησης. Αυτό το πρόβλημα λύνει μία άλλη κατηγορία μάθησης, που αποκαλείται ημι-επιβλεπόμενη, πρόκληση της οποίας είναι ο σχεδιασμός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 Θα μπορούσαμε να πούμε πως η ενισχυτική μάθηση βρίσκεται ενδιάμεσα από την επιβλεπόμενη και μη μάθηση διότι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ρόλος που έχει ο εκπαιδευτής στην επιβλεπόμενη μάθηση αντικαθίσταται από το ρόλο ενός κριτή, ο οποίος μπορεί να είναι ενσωματωμένος στο μηχανισμό μάθησης. Συνήθως χρησιμοποιείται σε εφαρμογές κοινωνικών επιστημών και τεχνολογίας όπως η τηλεπισκόπηση (</w:t>
      </w:r>
      <w:r>
        <w:rPr>
          <w:rFonts w:hint="default" w:ascii="Times New Roman" w:hAnsi="Times New Roman"/>
          <w:sz w:val="24"/>
          <w:szCs w:val="24"/>
          <w:lang w:val="en-GB"/>
        </w:rPr>
        <w:t xml:space="preserve">remote sensing), </w:t>
      </w:r>
      <w:r>
        <w:rPr>
          <w:rFonts w:hint="default" w:ascii="Times New Roman" w:hAnsi="Times New Roman"/>
          <w:sz w:val="24"/>
          <w:szCs w:val="24"/>
          <w:lang w:val="el-GR"/>
        </w:rPr>
        <w:t>κατάτμηση εικόνας (</w:t>
      </w:r>
      <w:r>
        <w:rPr>
          <w:rFonts w:hint="default" w:ascii="Times New Roman" w:hAnsi="Times New Roman"/>
          <w:sz w:val="24"/>
          <w:szCs w:val="24"/>
          <w:lang w:val="en-GB"/>
        </w:rPr>
        <w:t xml:space="preserve">image segmentation) </w:t>
      </w:r>
      <w:r>
        <w:rPr>
          <w:rFonts w:hint="default" w:ascii="Times New Roman" w:hAnsi="Times New Roman"/>
          <w:sz w:val="24"/>
          <w:szCs w:val="24"/>
          <w:lang w:val="el-GR"/>
        </w:rPr>
        <w:t>και η κωδικοποίηση εικόνας και φωνής.</w:t>
      </w:r>
      <w:r>
        <w:rPr>
          <w:rStyle w:val="16"/>
          <w:rFonts w:hint="default" w:ascii="Times New Roman" w:hAnsi="Times New Roman"/>
          <w:sz w:val="24"/>
          <w:szCs w:val="24"/>
          <w:lang w:val="el-GR"/>
        </w:rPr>
        <w:footnoteReference w:id="1"/>
      </w:r>
    </w:p>
    <w:p w14:paraId="787D0980">
      <w:pPr>
        <w:ind w:right="282"/>
        <w:jc w:val="both"/>
        <w:rPr>
          <w:rFonts w:hint="default" w:ascii="Times New Roman" w:hAnsi="Times New Roman"/>
          <w:sz w:val="24"/>
          <w:szCs w:val="24"/>
          <w:lang w:val="en-GB"/>
        </w:rPr>
      </w:pPr>
      <w:r>
        <w:rPr>
          <w:rFonts w:hint="default" w:ascii="Times New Roman" w:hAnsi="Times New Roman"/>
          <w:sz w:val="24"/>
          <w:szCs w:val="24"/>
          <w:lang w:val="el-GR"/>
        </w:rPr>
        <w:t>Ας εστιάσουμε όμως λίγο περισσότερο στη μάθηση με επίβλεψη, διότι χρησιμοποιείται από τον μεγαλύτερο όγκο των δικτύων.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το αποτέλεσμα της εξόδου με το επιθυμητό. Τα σφάλματα στη συνέχεια διαδίδονται πίσω μέσω του συστήματος, προκαλώντας το σύστημα να προσαρμόσει να βάρη που ελέγχουν το δίκτυο. Αυτή είναι μία επαναλαμβανόμενη διαδικασία, κάνοντας αρκετές φορές επεξεργασία το σύνολο δεδομένων εκπαίδευσης καθώς τα βάρη βελτιώνονται συνεχώς. Πρέπει να σημειωθεί βέβαια ότι κάποια δίκτυα δεν μαθαίνουν ποτέ. Ένας βασικός λόγος που μπορεί να προκύψει ένα τέτοιο αποτέλεσμα από λανθασμένα σύνολα δεδομένων ή μη επαρκείς πληροφορίες. Όσο περισσότερα δεδομένα έχουμε στη διάθεση μας, τόσο το καλύτερο διότι αρκετά δεδομένα να μπορούν να κρατηθούν για δοκιμή.</w:t>
      </w:r>
      <w:r>
        <w:rPr>
          <w:rFonts w:hint="default" w:ascii="Times New Roman" w:hAnsi="Times New Roman"/>
          <w:sz w:val="24"/>
          <w:szCs w:val="24"/>
          <w:lang w:val="en-GB"/>
        </w:rPr>
        <w:t xml:space="preserve"> (Anderson &amp; McNeill, 1992)</w:t>
      </w:r>
    </w:p>
    <w:p w14:paraId="28D6286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Παραδείγματα αλγορίθμων εκπαίδευσης με επίβλεψη είναι οι εξής: </w:t>
      </w:r>
      <w:r>
        <w:rPr>
          <w:rFonts w:hint="default" w:ascii="Times New Roman" w:hAnsi="Times New Roman"/>
          <w:sz w:val="24"/>
          <w:szCs w:val="24"/>
          <w:lang w:val="en-GB"/>
        </w:rPr>
        <w:t xml:space="preserve"> Perceptron, </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δίκτυα </w:t>
      </w:r>
      <w:r>
        <w:rPr>
          <w:rFonts w:hint="default" w:ascii="Times New Roman" w:hAnsi="Times New Roman"/>
          <w:sz w:val="24"/>
          <w:szCs w:val="24"/>
          <w:lang w:val="en-GB"/>
        </w:rPr>
        <w:t>Back-Propagation</w:t>
      </w:r>
      <w:r>
        <w:rPr>
          <w:rFonts w:hint="default" w:ascii="Times New Roman" w:hAnsi="Times New Roman"/>
          <w:sz w:val="24"/>
          <w:szCs w:val="24"/>
          <w:lang w:val="el-GR"/>
        </w:rPr>
        <w:t xml:space="preserve"> αλλά και τα αναδρομικά </w:t>
      </w:r>
      <w:r>
        <w:rPr>
          <w:rFonts w:hint="default" w:ascii="Times New Roman" w:hAnsi="Times New Roman"/>
          <w:sz w:val="24"/>
          <w:szCs w:val="24"/>
          <w:lang w:val="en-GB"/>
        </w:rPr>
        <w:t xml:space="preserve">Back-Propagation,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RBF, </w:t>
      </w:r>
      <w:r>
        <w:rPr>
          <w:rFonts w:hint="default" w:ascii="Times New Roman" w:hAnsi="Times New Roman"/>
          <w:sz w:val="24"/>
          <w:szCs w:val="24"/>
          <w:lang w:val="el-GR"/>
        </w:rPr>
        <w:t xml:space="preserve">μοντέλα </w:t>
      </w:r>
      <w:r>
        <w:rPr>
          <w:rFonts w:hint="default" w:ascii="Times New Roman" w:hAnsi="Times New Roman"/>
          <w:sz w:val="24"/>
          <w:szCs w:val="24"/>
          <w:lang w:val="en-GB"/>
        </w:rPr>
        <w:t xml:space="preserve">SVM </w:t>
      </w:r>
      <w:r>
        <w:rPr>
          <w:rFonts w:hint="default" w:ascii="Times New Roman" w:hAnsi="Times New Roman"/>
          <w:sz w:val="24"/>
          <w:szCs w:val="24"/>
          <w:lang w:val="el-GR"/>
        </w:rPr>
        <w:t xml:space="preserve"> καθώς και οι στοχαστικές μηχανές.</w:t>
      </w:r>
      <w:r>
        <w:rPr>
          <w:rFonts w:hint="default" w:ascii="Times New Roman" w:hAnsi="Times New Roman"/>
          <w:sz w:val="24"/>
          <w:szCs w:val="24"/>
          <w:lang w:val="en-GB"/>
        </w:rPr>
        <w:t xml:space="preserve">  </w:t>
      </w:r>
      <w:r>
        <w:rPr>
          <w:rFonts w:hint="default" w:ascii="Times New Roman" w:hAnsi="Times New Roman"/>
          <w:sz w:val="24"/>
          <w:szCs w:val="24"/>
          <w:lang w:val="el-GR"/>
        </w:rPr>
        <w:t>[2]</w:t>
      </w:r>
    </w:p>
    <w:p w14:paraId="523CE93D">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4F6D0A5B">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EE27EA5">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w:t>
      </w:r>
      <w:r>
        <w:rPr>
          <w:rFonts w:hint="default" w:ascii="Times New Roman" w:hAnsi="Times New Roman"/>
          <w:sz w:val="24"/>
          <w:szCs w:val="24"/>
          <w:lang w:val="el-GR"/>
        </w:rPr>
        <w:t xml:space="preserve">κλάσεων </w:t>
      </w:r>
      <w:r>
        <w:rPr>
          <w:rFonts w:hint="default" w:ascii="Times New Roman" w:hAnsi="Times New Roman"/>
          <w:sz w:val="24"/>
          <w:szCs w:val="24"/>
          <w:lang w:val="en-GB"/>
        </w:rPr>
        <w:t xml:space="preserve">όπως για παράδειγμα η ομάδα αίματος, ενώ η παρεμβολή (regression) αφορά στη δημιουργία μοντέλων πρόβλεψης αριθμητικών τιμών. </w:t>
      </w:r>
    </w:p>
    <w:p w14:paraId="47E1F8BB">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sz w:val="24"/>
          <w:szCs w:val="24"/>
          <w:lang w:val="en-GB"/>
        </w:rPr>
        <w:t xml:space="preserve">Bayes, </w:t>
      </w:r>
      <w:r>
        <w:rPr>
          <w:rFonts w:hint="default" w:ascii="Times New Roman" w:hAnsi="Times New Roman"/>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sz w:val="24"/>
          <w:szCs w:val="24"/>
          <w:lang w:val="en-GB"/>
        </w:rPr>
        <w:t>Support Vector Machines).  (Βλαχάβας et al., 2006)</w:t>
      </w:r>
    </w:p>
    <w:p w14:paraId="22995C01">
      <w:pPr>
        <w:ind w:right="282"/>
        <w:jc w:val="both"/>
        <w:rPr>
          <w:rFonts w:hint="default" w:ascii="Times New Roman" w:hAnsi="Times New Roman"/>
          <w:sz w:val="24"/>
          <w:szCs w:val="24"/>
          <w:lang w:val="en-GB"/>
        </w:rPr>
      </w:pPr>
    </w:p>
    <w:p w14:paraId="2A483A01">
      <w:pPr>
        <w:ind w:right="282"/>
        <w:jc w:val="both"/>
        <w:rPr>
          <w:rFonts w:hint="default" w:ascii="Times New Roman" w:hAnsi="Times New Roman"/>
          <w:sz w:val="24"/>
          <w:szCs w:val="24"/>
          <w:lang w:val="en-GB"/>
        </w:rPr>
      </w:pPr>
    </w:p>
    <w:p w14:paraId="17119D16">
      <w:pPr>
        <w:ind w:right="282"/>
        <w:jc w:val="both"/>
        <w:rPr>
          <w:rFonts w:hint="default" w:ascii="Times New Roman" w:hAnsi="Times New Roman"/>
          <w:sz w:val="24"/>
          <w:szCs w:val="24"/>
          <w:lang w:val="en-GB"/>
        </w:rPr>
      </w:pPr>
    </w:p>
    <w:p w14:paraId="7F48B87D">
      <w:pPr>
        <w:ind w:right="282"/>
        <w:jc w:val="both"/>
        <w:rPr>
          <w:rFonts w:hint="default" w:ascii="Times New Roman" w:hAnsi="Times New Roman"/>
          <w:sz w:val="24"/>
          <w:szCs w:val="24"/>
          <w:lang w:val="en-GB"/>
        </w:rPr>
      </w:pPr>
    </w:p>
    <w:p w14:paraId="06E3EAC7">
      <w:pPr>
        <w:ind w:right="282"/>
        <w:jc w:val="both"/>
        <w:rPr>
          <w:rFonts w:hint="default" w:ascii="Times New Roman" w:hAnsi="Times New Roman"/>
          <w:sz w:val="24"/>
          <w:szCs w:val="24"/>
          <w:lang w:val="en-GB"/>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[12]</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ascii="Times New Roman" w:hAnsi="Times New Roman" w:cs="Times New Roman"/>
          <w:sz w:val="24"/>
          <w:szCs w:val="24"/>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44C79132">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ΤΕΧΝΗΤΗ ΝΟΗΜΟΣΥΝΗ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ΤΕΧΝΗΤΑ ΝΕΥΡΩΝΙΚΑ ΔΙΚΤΥΑ</w:t>
      </w:r>
      <w:r>
        <w:rPr>
          <w:rFonts w:ascii="Times New Roman" w:hAnsi="Times New Roman" w:eastAsia="Times New Roman" w:cs="Times New Roman"/>
          <w:i w:val="0"/>
          <w:iCs/>
          <w:sz w:val="28"/>
          <w:szCs w:val="28"/>
          <w:rtl w:val="0"/>
        </w:rPr>
        <w:t>. Αθήνα: Εκδόσεις Κλειδάριθμος.</w:t>
      </w:r>
    </w:p>
    <w:p w14:paraId="3EB86BC3">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p>
    <w:p w14:paraId="11C54FDB">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000002C7">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ΝΕΥΡΩΝΙΚΑ ΔΙΚΤΥΑ ΚΑΙ ΜΗΧΑΝΙΚΗ ΜΑΘΗΣΗ</w:t>
      </w:r>
      <w:r>
        <w:rPr>
          <w:rFonts w:hint="default" w:ascii="Times New Roman" w:hAnsi="Times New Roman" w:eastAsia="Times New Roman" w:cs="Times New Roman"/>
          <w:i/>
          <w:iCs w:val="0"/>
          <w:sz w:val="28"/>
          <w:szCs w:val="28"/>
          <w:rtl w:val="0"/>
          <w:lang w:val="el-GR"/>
        </w:rPr>
        <w:t>.</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Croatia: Published by InTech</w:t>
      </w:r>
    </w:p>
    <w:p w14:paraId="602B19DA">
      <w:pPr>
        <w:ind w:right="282"/>
        <w:rPr>
          <w:rFonts w:hint="default" w:ascii="Times New Roman" w:hAnsi="Times New Roman" w:eastAsia="Times New Roman"/>
          <w:i w:val="0"/>
          <w:iCs/>
          <w:sz w:val="28"/>
          <w:szCs w:val="28"/>
          <w:rtl w:val="0"/>
          <w:lang w:val="en-GB"/>
        </w:rPr>
      </w:pPr>
    </w:p>
    <w:p w14:paraId="06C3BCBE">
      <w:pPr>
        <w:ind w:right="282"/>
        <w:rPr>
          <w:rFonts w:hint="default" w:ascii="Times New Roman" w:hAnsi="Times New Roman" w:eastAsia="Times New Roman"/>
          <w:i w:val="0"/>
          <w:iCs/>
          <w:sz w:val="28"/>
          <w:szCs w:val="28"/>
          <w:rtl w:val="0"/>
          <w:lang w:val="en-GB"/>
        </w:rPr>
      </w:pPr>
    </w:p>
    <w:p w14:paraId="0A4072B9">
      <w:pPr>
        <w:ind w:right="282"/>
        <w:rPr>
          <w:rFonts w:hint="default" w:ascii="Times New Roman" w:hAnsi="Times New Roman" w:eastAsia="Times New Roman"/>
          <w:i w:val="0"/>
          <w:iCs/>
          <w:sz w:val="28"/>
          <w:szCs w:val="28"/>
          <w:rtl w:val="0"/>
          <w:lang w:val="en-GB"/>
        </w:rPr>
      </w:pPr>
    </w:p>
    <w:p w14:paraId="239EFD94">
      <w:pPr>
        <w:ind w:right="282"/>
        <w:rPr>
          <w:rFonts w:hint="default" w:ascii="Times New Roman" w:hAnsi="Times New Roman" w:eastAsia="Times New Roman"/>
          <w:i w:val="0"/>
          <w:iCs/>
          <w:sz w:val="28"/>
          <w:szCs w:val="28"/>
          <w:rtl w:val="0"/>
          <w:lang w:val="en-GB"/>
        </w:rPr>
      </w:pPr>
    </w:p>
    <w:p w14:paraId="223891A4">
      <w:pPr>
        <w:ind w:right="282"/>
        <w:rPr>
          <w:rFonts w:hint="default" w:ascii="Times New Roman" w:hAnsi="Times New Roman" w:eastAsia="Times New Roman"/>
          <w:i w:val="0"/>
          <w:iCs/>
          <w:sz w:val="28"/>
          <w:szCs w:val="28"/>
          <w:rtl w:val="0"/>
          <w:lang w:val="en-GB"/>
        </w:rPr>
      </w:pPr>
    </w:p>
    <w:p w14:paraId="2232DFB9">
      <w:pPr>
        <w:ind w:right="282"/>
        <w:rPr>
          <w:rFonts w:hint="default" w:ascii="Times New Roman" w:hAnsi="Times New Roman" w:eastAsia="Times New Roman"/>
          <w:i w:val="0"/>
          <w:iCs/>
          <w:sz w:val="28"/>
          <w:szCs w:val="28"/>
          <w:rtl w:val="0"/>
          <w:lang w:val="en-GB"/>
        </w:rPr>
      </w:pPr>
    </w:p>
    <w:p w14:paraId="5E8257BE">
      <w:pPr>
        <w:ind w:right="282"/>
        <w:rPr>
          <w:rFonts w:hint="default" w:ascii="Times New Roman" w:hAnsi="Times New Roman" w:eastAsia="Times New Roman"/>
          <w:i w:val="0"/>
          <w:iCs/>
          <w:sz w:val="28"/>
          <w:szCs w:val="28"/>
          <w:rtl w:val="0"/>
          <w:lang w:val="en-GB"/>
        </w:rPr>
      </w:pPr>
    </w:p>
    <w:p w14:paraId="41265935">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[5] </w:t>
      </w:r>
      <w:r>
        <w:rPr>
          <w:rFonts w:hint="default" w:ascii="Times New Roman" w:hAnsi="Times New Roman" w:eastAsia="Times New Roman"/>
          <w:i w:val="0"/>
          <w:iCs/>
          <w:sz w:val="28"/>
          <w:szCs w:val="28"/>
          <w:rtl w:val="0"/>
          <w:lang w:val="en-GB"/>
        </w:rPr>
        <w:t>MyCompiler. (2019-2024).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"https://www.mycompiler.io/new/octave"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rtl w:val="0"/>
          <w:lang w:val="en-GB"/>
        </w:rPr>
        <w:t>https://www.mycompiler.io/new/octave</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l-GR"/>
        </w:rPr>
        <w:t>]</w:t>
      </w:r>
    </w:p>
    <w:p w14:paraId="7CCE7FAC">
      <w:pPr>
        <w:ind w:right="282"/>
        <w:rPr>
          <w:rFonts w:hint="default" w:ascii="Times New Roman" w:hAnsi="Times New Roman"/>
          <w:i w:val="0"/>
          <w:iCs/>
          <w:sz w:val="28"/>
          <w:szCs w:val="28"/>
          <w:lang w:val="en-GB"/>
        </w:rPr>
      </w:pPr>
      <w:r>
        <w:rPr>
          <w:rFonts w:hint="default" w:ascii="Times New Roman" w:hAnsi="Times New Roman"/>
          <w:i w:val="0"/>
          <w:iCs/>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4A5D1CB9">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[11] Russell, S. και Norvig, P. (2010). Artificial Intelligence: A Modern Approach. 3η έκδ. Upper Saddle River, NJ: Prentice Hall.</w:t>
      </w:r>
    </w:p>
    <w:p w14:paraId="5F77B660">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[12] ΥΠΟΛΟΓΙΣΤΙΚΗ ΝΟΗΜΟΣΥΝΗ - Ιωάννης Γ. Τσούλος C:\Users\Evita\Documents\Thesis\Stoixeia Ypologistikhs Noumosunhs - Metaptyxiako (Tsoulos)\3. Τεχνητά νευρωνικά δίκτυα (Perceptron, Adaline)\lecture3_neural.pdf</w:t>
      </w: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BF4976"/>
    <w:rsid w:val="02F42632"/>
    <w:rsid w:val="02F5745D"/>
    <w:rsid w:val="030D3F59"/>
    <w:rsid w:val="0315639B"/>
    <w:rsid w:val="03412EFF"/>
    <w:rsid w:val="03595B8B"/>
    <w:rsid w:val="03712275"/>
    <w:rsid w:val="037164F2"/>
    <w:rsid w:val="037E2547"/>
    <w:rsid w:val="03AE265E"/>
    <w:rsid w:val="03C55E5C"/>
    <w:rsid w:val="03DB4E5F"/>
    <w:rsid w:val="03EF4CA9"/>
    <w:rsid w:val="03FF1072"/>
    <w:rsid w:val="0408709E"/>
    <w:rsid w:val="04196153"/>
    <w:rsid w:val="045332E5"/>
    <w:rsid w:val="047A5442"/>
    <w:rsid w:val="04925E3E"/>
    <w:rsid w:val="04BB5134"/>
    <w:rsid w:val="04F1259D"/>
    <w:rsid w:val="04F27EAB"/>
    <w:rsid w:val="05320C94"/>
    <w:rsid w:val="054C69BD"/>
    <w:rsid w:val="05504736"/>
    <w:rsid w:val="055830D2"/>
    <w:rsid w:val="05A14F91"/>
    <w:rsid w:val="05C869C2"/>
    <w:rsid w:val="05F75BFD"/>
    <w:rsid w:val="060101C2"/>
    <w:rsid w:val="062F259D"/>
    <w:rsid w:val="06583D6B"/>
    <w:rsid w:val="06616B6F"/>
    <w:rsid w:val="068F69D2"/>
    <w:rsid w:val="069E3D68"/>
    <w:rsid w:val="06CE6EF4"/>
    <w:rsid w:val="072E6E8C"/>
    <w:rsid w:val="073161DB"/>
    <w:rsid w:val="07453D54"/>
    <w:rsid w:val="077A356B"/>
    <w:rsid w:val="078E2CF2"/>
    <w:rsid w:val="07952692"/>
    <w:rsid w:val="07BC0F63"/>
    <w:rsid w:val="07C50D60"/>
    <w:rsid w:val="08071A24"/>
    <w:rsid w:val="080F2781"/>
    <w:rsid w:val="08161CD1"/>
    <w:rsid w:val="08316AA1"/>
    <w:rsid w:val="08747B08"/>
    <w:rsid w:val="089D3628"/>
    <w:rsid w:val="08AB4848"/>
    <w:rsid w:val="08E81118"/>
    <w:rsid w:val="090C37A2"/>
    <w:rsid w:val="091A511F"/>
    <w:rsid w:val="093446A7"/>
    <w:rsid w:val="09522602"/>
    <w:rsid w:val="095742E5"/>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C1734E6"/>
    <w:rsid w:val="0C421DAC"/>
    <w:rsid w:val="0C50326D"/>
    <w:rsid w:val="0D8368AF"/>
    <w:rsid w:val="0DA505DC"/>
    <w:rsid w:val="0DC95D96"/>
    <w:rsid w:val="0E2A3C19"/>
    <w:rsid w:val="0E345E2C"/>
    <w:rsid w:val="0E3E373C"/>
    <w:rsid w:val="0E50408A"/>
    <w:rsid w:val="0E667C21"/>
    <w:rsid w:val="0E72571D"/>
    <w:rsid w:val="0E7913C6"/>
    <w:rsid w:val="0E7B0B34"/>
    <w:rsid w:val="0E902542"/>
    <w:rsid w:val="0EA07C89"/>
    <w:rsid w:val="0EA766D7"/>
    <w:rsid w:val="0F064595"/>
    <w:rsid w:val="0F12719D"/>
    <w:rsid w:val="0F331350"/>
    <w:rsid w:val="0F5762D8"/>
    <w:rsid w:val="0F8648F6"/>
    <w:rsid w:val="0F8F6F95"/>
    <w:rsid w:val="0F985025"/>
    <w:rsid w:val="0F9B7DE0"/>
    <w:rsid w:val="0FB771F2"/>
    <w:rsid w:val="0FC65D20"/>
    <w:rsid w:val="0FF4755A"/>
    <w:rsid w:val="10090D8C"/>
    <w:rsid w:val="10366D35"/>
    <w:rsid w:val="103A0185"/>
    <w:rsid w:val="10950A41"/>
    <w:rsid w:val="10997447"/>
    <w:rsid w:val="109C5E4D"/>
    <w:rsid w:val="10AA5076"/>
    <w:rsid w:val="10B431F2"/>
    <w:rsid w:val="10C07307"/>
    <w:rsid w:val="10CA3499"/>
    <w:rsid w:val="10E62DCA"/>
    <w:rsid w:val="10F76182"/>
    <w:rsid w:val="10FB3C68"/>
    <w:rsid w:val="11580A2E"/>
    <w:rsid w:val="1183590C"/>
    <w:rsid w:val="11B4471C"/>
    <w:rsid w:val="11CE746F"/>
    <w:rsid w:val="11DE4F9D"/>
    <w:rsid w:val="11E703EE"/>
    <w:rsid w:val="11EF57FA"/>
    <w:rsid w:val="11F71F3A"/>
    <w:rsid w:val="12043422"/>
    <w:rsid w:val="12262ACE"/>
    <w:rsid w:val="12442667"/>
    <w:rsid w:val="127B5962"/>
    <w:rsid w:val="12CF0C0F"/>
    <w:rsid w:val="12E92B2D"/>
    <w:rsid w:val="133577AB"/>
    <w:rsid w:val="133C40E3"/>
    <w:rsid w:val="13B4772F"/>
    <w:rsid w:val="13C95236"/>
    <w:rsid w:val="142D5B7C"/>
    <w:rsid w:val="142F537B"/>
    <w:rsid w:val="152B05E3"/>
    <w:rsid w:val="153420AA"/>
    <w:rsid w:val="159A569D"/>
    <w:rsid w:val="15DB5367"/>
    <w:rsid w:val="15F20E8D"/>
    <w:rsid w:val="16005405"/>
    <w:rsid w:val="16295486"/>
    <w:rsid w:val="1673312F"/>
    <w:rsid w:val="16C25090"/>
    <w:rsid w:val="16E11040"/>
    <w:rsid w:val="17284465"/>
    <w:rsid w:val="174C3944"/>
    <w:rsid w:val="174D6A83"/>
    <w:rsid w:val="174F4AA8"/>
    <w:rsid w:val="17594D4D"/>
    <w:rsid w:val="179325DA"/>
    <w:rsid w:val="17CF079E"/>
    <w:rsid w:val="17DB5730"/>
    <w:rsid w:val="17F3155F"/>
    <w:rsid w:val="17F7110E"/>
    <w:rsid w:val="182A3C07"/>
    <w:rsid w:val="183F4A1B"/>
    <w:rsid w:val="185E7740"/>
    <w:rsid w:val="188E641B"/>
    <w:rsid w:val="1908399E"/>
    <w:rsid w:val="19345AE7"/>
    <w:rsid w:val="193F711F"/>
    <w:rsid w:val="19744610"/>
    <w:rsid w:val="197E2B40"/>
    <w:rsid w:val="19803472"/>
    <w:rsid w:val="19B14D58"/>
    <w:rsid w:val="19F51987"/>
    <w:rsid w:val="19FE05FF"/>
    <w:rsid w:val="1A3B37AF"/>
    <w:rsid w:val="1A4E6234"/>
    <w:rsid w:val="1A947260"/>
    <w:rsid w:val="1A9B31D7"/>
    <w:rsid w:val="1AB723E0"/>
    <w:rsid w:val="1ADC1279"/>
    <w:rsid w:val="1AF137A8"/>
    <w:rsid w:val="1AF37BE5"/>
    <w:rsid w:val="1AFF47DC"/>
    <w:rsid w:val="1B1464DA"/>
    <w:rsid w:val="1B301C28"/>
    <w:rsid w:val="1B50737C"/>
    <w:rsid w:val="1B532929"/>
    <w:rsid w:val="1B5508A0"/>
    <w:rsid w:val="1B741899"/>
    <w:rsid w:val="1B814380"/>
    <w:rsid w:val="1B980FB3"/>
    <w:rsid w:val="1BAF1C14"/>
    <w:rsid w:val="1BB60F3D"/>
    <w:rsid w:val="1BD6610E"/>
    <w:rsid w:val="1BF7395A"/>
    <w:rsid w:val="1C32204E"/>
    <w:rsid w:val="1C3243D6"/>
    <w:rsid w:val="1C4F189B"/>
    <w:rsid w:val="1C5E2941"/>
    <w:rsid w:val="1C9E29C1"/>
    <w:rsid w:val="1CB36B84"/>
    <w:rsid w:val="1CD700B1"/>
    <w:rsid w:val="1CEE3304"/>
    <w:rsid w:val="1D2A2C1A"/>
    <w:rsid w:val="1D643ED9"/>
    <w:rsid w:val="1D6B6EF8"/>
    <w:rsid w:val="1D724738"/>
    <w:rsid w:val="1D907DF3"/>
    <w:rsid w:val="1DB22149"/>
    <w:rsid w:val="1DB6014B"/>
    <w:rsid w:val="1DC0365D"/>
    <w:rsid w:val="1DF03DA6"/>
    <w:rsid w:val="1DF63C75"/>
    <w:rsid w:val="1E6B1B69"/>
    <w:rsid w:val="1E75462B"/>
    <w:rsid w:val="1E8468DF"/>
    <w:rsid w:val="1EA44ED2"/>
    <w:rsid w:val="1F095831"/>
    <w:rsid w:val="1F1820D1"/>
    <w:rsid w:val="1F3C1C4F"/>
    <w:rsid w:val="1F3E18CF"/>
    <w:rsid w:val="1F760660"/>
    <w:rsid w:val="1FEA19E8"/>
    <w:rsid w:val="1FF04A95"/>
    <w:rsid w:val="20196340"/>
    <w:rsid w:val="204604E6"/>
    <w:rsid w:val="20682E71"/>
    <w:rsid w:val="207313C1"/>
    <w:rsid w:val="20A70EA1"/>
    <w:rsid w:val="20B01DFA"/>
    <w:rsid w:val="20CA7557"/>
    <w:rsid w:val="20D20D75"/>
    <w:rsid w:val="20DB55F8"/>
    <w:rsid w:val="20E9246E"/>
    <w:rsid w:val="20F14BC7"/>
    <w:rsid w:val="210C2DC4"/>
    <w:rsid w:val="21335323"/>
    <w:rsid w:val="21A06152"/>
    <w:rsid w:val="21B615A1"/>
    <w:rsid w:val="21DE0F1E"/>
    <w:rsid w:val="221B77D7"/>
    <w:rsid w:val="22380333"/>
    <w:rsid w:val="223D47BB"/>
    <w:rsid w:val="22402076"/>
    <w:rsid w:val="228A255C"/>
    <w:rsid w:val="22992AB0"/>
    <w:rsid w:val="22EE0065"/>
    <w:rsid w:val="23060BF9"/>
    <w:rsid w:val="232D130E"/>
    <w:rsid w:val="23311652"/>
    <w:rsid w:val="23590721"/>
    <w:rsid w:val="23F53B0C"/>
    <w:rsid w:val="23FD0F19"/>
    <w:rsid w:val="24134E54"/>
    <w:rsid w:val="243459E2"/>
    <w:rsid w:val="24404E85"/>
    <w:rsid w:val="2453298D"/>
    <w:rsid w:val="24703456"/>
    <w:rsid w:val="248747E5"/>
    <w:rsid w:val="24A851AB"/>
    <w:rsid w:val="24B711EA"/>
    <w:rsid w:val="24CA5515"/>
    <w:rsid w:val="24D57369"/>
    <w:rsid w:val="24D67678"/>
    <w:rsid w:val="252B29D9"/>
    <w:rsid w:val="253A13A7"/>
    <w:rsid w:val="259E5BC4"/>
    <w:rsid w:val="25A12A6D"/>
    <w:rsid w:val="25A6311B"/>
    <w:rsid w:val="25B924F3"/>
    <w:rsid w:val="25BB59F6"/>
    <w:rsid w:val="25DC3EE8"/>
    <w:rsid w:val="25DE18E8"/>
    <w:rsid w:val="25EC2058"/>
    <w:rsid w:val="26441291"/>
    <w:rsid w:val="26500BDE"/>
    <w:rsid w:val="26AB0243"/>
    <w:rsid w:val="26C174A2"/>
    <w:rsid w:val="27422A77"/>
    <w:rsid w:val="274E6D70"/>
    <w:rsid w:val="276B4823"/>
    <w:rsid w:val="27995F47"/>
    <w:rsid w:val="27B200B0"/>
    <w:rsid w:val="27C46B92"/>
    <w:rsid w:val="27FD6485"/>
    <w:rsid w:val="286903EF"/>
    <w:rsid w:val="286D200E"/>
    <w:rsid w:val="288324A3"/>
    <w:rsid w:val="289D0C3D"/>
    <w:rsid w:val="28CF2DF1"/>
    <w:rsid w:val="28F20A3C"/>
    <w:rsid w:val="294378F8"/>
    <w:rsid w:val="29B26A9F"/>
    <w:rsid w:val="29D71CDA"/>
    <w:rsid w:val="2AB91DBF"/>
    <w:rsid w:val="2ADF135E"/>
    <w:rsid w:val="2AFD1D96"/>
    <w:rsid w:val="2B2154CC"/>
    <w:rsid w:val="2B347CF1"/>
    <w:rsid w:val="2B3A0D12"/>
    <w:rsid w:val="2B524D23"/>
    <w:rsid w:val="2B6F284F"/>
    <w:rsid w:val="2B791D7D"/>
    <w:rsid w:val="2BA66F8E"/>
    <w:rsid w:val="2BCE686B"/>
    <w:rsid w:val="2BD96AC6"/>
    <w:rsid w:val="2BDD0222"/>
    <w:rsid w:val="2BF80966"/>
    <w:rsid w:val="2C15563E"/>
    <w:rsid w:val="2C3E6D33"/>
    <w:rsid w:val="2C536736"/>
    <w:rsid w:val="2C5F1AE3"/>
    <w:rsid w:val="2C6D60EB"/>
    <w:rsid w:val="2C706039"/>
    <w:rsid w:val="2C866A14"/>
    <w:rsid w:val="2CA34808"/>
    <w:rsid w:val="2CB43679"/>
    <w:rsid w:val="2CD50A22"/>
    <w:rsid w:val="2D1327DF"/>
    <w:rsid w:val="2D470B1D"/>
    <w:rsid w:val="2D735A79"/>
    <w:rsid w:val="2D776454"/>
    <w:rsid w:val="2D782DD6"/>
    <w:rsid w:val="2DD072B5"/>
    <w:rsid w:val="2DE95A07"/>
    <w:rsid w:val="2E0629C2"/>
    <w:rsid w:val="2E105B03"/>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7E23C8"/>
    <w:rsid w:val="30A76777"/>
    <w:rsid w:val="30D32BCD"/>
    <w:rsid w:val="30D977A7"/>
    <w:rsid w:val="31490245"/>
    <w:rsid w:val="314B6C8B"/>
    <w:rsid w:val="3172522D"/>
    <w:rsid w:val="3175354C"/>
    <w:rsid w:val="31C5599C"/>
    <w:rsid w:val="31D017F0"/>
    <w:rsid w:val="322052CC"/>
    <w:rsid w:val="322F5B2C"/>
    <w:rsid w:val="325C3906"/>
    <w:rsid w:val="32852B7B"/>
    <w:rsid w:val="32C1342F"/>
    <w:rsid w:val="32D575CE"/>
    <w:rsid w:val="32D77EB3"/>
    <w:rsid w:val="32D871B4"/>
    <w:rsid w:val="33026D15"/>
    <w:rsid w:val="33200D76"/>
    <w:rsid w:val="33275617"/>
    <w:rsid w:val="333B229A"/>
    <w:rsid w:val="334A5EFD"/>
    <w:rsid w:val="33EA52C5"/>
    <w:rsid w:val="340A4D0B"/>
    <w:rsid w:val="34525525"/>
    <w:rsid w:val="34583D23"/>
    <w:rsid w:val="345F2B6A"/>
    <w:rsid w:val="347F162D"/>
    <w:rsid w:val="34921653"/>
    <w:rsid w:val="34A12E66"/>
    <w:rsid w:val="34EA39B0"/>
    <w:rsid w:val="34F73480"/>
    <w:rsid w:val="34F865E0"/>
    <w:rsid w:val="356A162D"/>
    <w:rsid w:val="35D00817"/>
    <w:rsid w:val="35D753EF"/>
    <w:rsid w:val="361A43FC"/>
    <w:rsid w:val="362317B0"/>
    <w:rsid w:val="36283BA1"/>
    <w:rsid w:val="36A16D32"/>
    <w:rsid w:val="36C46BAE"/>
    <w:rsid w:val="36C62C57"/>
    <w:rsid w:val="36C80ED5"/>
    <w:rsid w:val="36D72EDD"/>
    <w:rsid w:val="36E22594"/>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084B8F"/>
    <w:rsid w:val="3B094A6A"/>
    <w:rsid w:val="3B1F6F59"/>
    <w:rsid w:val="3B251017"/>
    <w:rsid w:val="3B2D5DCD"/>
    <w:rsid w:val="3B3D12FE"/>
    <w:rsid w:val="3B4C09D6"/>
    <w:rsid w:val="3B693315"/>
    <w:rsid w:val="3BB013E9"/>
    <w:rsid w:val="3C10781A"/>
    <w:rsid w:val="3C191E26"/>
    <w:rsid w:val="3C1D6F35"/>
    <w:rsid w:val="3CDC01E8"/>
    <w:rsid w:val="3D030443"/>
    <w:rsid w:val="3D2E1EA6"/>
    <w:rsid w:val="3D455E16"/>
    <w:rsid w:val="3D6164A5"/>
    <w:rsid w:val="3D736C38"/>
    <w:rsid w:val="3D8B4BB3"/>
    <w:rsid w:val="3DBA03C3"/>
    <w:rsid w:val="3E197BF3"/>
    <w:rsid w:val="3E3D0FF4"/>
    <w:rsid w:val="3E59441C"/>
    <w:rsid w:val="3E6671E3"/>
    <w:rsid w:val="3E82308D"/>
    <w:rsid w:val="3EDA1724"/>
    <w:rsid w:val="3F13081C"/>
    <w:rsid w:val="3F277F3F"/>
    <w:rsid w:val="3F2D1CB6"/>
    <w:rsid w:val="3F473D96"/>
    <w:rsid w:val="3F52089A"/>
    <w:rsid w:val="3FB47D1B"/>
    <w:rsid w:val="40354106"/>
    <w:rsid w:val="40682740"/>
    <w:rsid w:val="40B664C9"/>
    <w:rsid w:val="40D50D6D"/>
    <w:rsid w:val="40EC13B7"/>
    <w:rsid w:val="40EF1917"/>
    <w:rsid w:val="412918A4"/>
    <w:rsid w:val="419C0E46"/>
    <w:rsid w:val="41D11FAE"/>
    <w:rsid w:val="420275F0"/>
    <w:rsid w:val="42417C85"/>
    <w:rsid w:val="425E0A70"/>
    <w:rsid w:val="42645E51"/>
    <w:rsid w:val="426C200C"/>
    <w:rsid w:val="42B615A7"/>
    <w:rsid w:val="43421586"/>
    <w:rsid w:val="43496F4C"/>
    <w:rsid w:val="435D2A62"/>
    <w:rsid w:val="43625B18"/>
    <w:rsid w:val="438F3163"/>
    <w:rsid w:val="43EA6480"/>
    <w:rsid w:val="440D1834"/>
    <w:rsid w:val="441866E8"/>
    <w:rsid w:val="44BA0C7D"/>
    <w:rsid w:val="44C77996"/>
    <w:rsid w:val="44D4099F"/>
    <w:rsid w:val="44E0760E"/>
    <w:rsid w:val="44F529B8"/>
    <w:rsid w:val="451A5360"/>
    <w:rsid w:val="45333815"/>
    <w:rsid w:val="455B6F58"/>
    <w:rsid w:val="45635287"/>
    <w:rsid w:val="459D012E"/>
    <w:rsid w:val="45D86BA1"/>
    <w:rsid w:val="45E226B4"/>
    <w:rsid w:val="46666BDC"/>
    <w:rsid w:val="467D1B09"/>
    <w:rsid w:val="46971BE9"/>
    <w:rsid w:val="46B1081D"/>
    <w:rsid w:val="46C95E83"/>
    <w:rsid w:val="46DF70EC"/>
    <w:rsid w:val="46E67178"/>
    <w:rsid w:val="472965B9"/>
    <w:rsid w:val="47341BB2"/>
    <w:rsid w:val="4752380F"/>
    <w:rsid w:val="47831023"/>
    <w:rsid w:val="47845357"/>
    <w:rsid w:val="47A14C13"/>
    <w:rsid w:val="47A66B1D"/>
    <w:rsid w:val="484E49E0"/>
    <w:rsid w:val="487F2F7D"/>
    <w:rsid w:val="48827784"/>
    <w:rsid w:val="4890451C"/>
    <w:rsid w:val="48973EA7"/>
    <w:rsid w:val="48C94CC0"/>
    <w:rsid w:val="48D65CE6"/>
    <w:rsid w:val="49141E69"/>
    <w:rsid w:val="495C5DB3"/>
    <w:rsid w:val="499F46D9"/>
    <w:rsid w:val="49A607E1"/>
    <w:rsid w:val="49AD5286"/>
    <w:rsid w:val="49B53305"/>
    <w:rsid w:val="49D56DC9"/>
    <w:rsid w:val="49FA5B71"/>
    <w:rsid w:val="4A433A00"/>
    <w:rsid w:val="4A531896"/>
    <w:rsid w:val="4A5C030F"/>
    <w:rsid w:val="4A6504DB"/>
    <w:rsid w:val="4A7E749E"/>
    <w:rsid w:val="4AB37F71"/>
    <w:rsid w:val="4AD0654E"/>
    <w:rsid w:val="4B0A7451"/>
    <w:rsid w:val="4B0D48B0"/>
    <w:rsid w:val="4B254E4C"/>
    <w:rsid w:val="4B4C71CE"/>
    <w:rsid w:val="4B517E8D"/>
    <w:rsid w:val="4B6C5C1A"/>
    <w:rsid w:val="4B713CC9"/>
    <w:rsid w:val="4BC37C17"/>
    <w:rsid w:val="4BC44B03"/>
    <w:rsid w:val="4BD14C0C"/>
    <w:rsid w:val="4BF962EF"/>
    <w:rsid w:val="4C067046"/>
    <w:rsid w:val="4C0D46C7"/>
    <w:rsid w:val="4C4862AE"/>
    <w:rsid w:val="4C4F250A"/>
    <w:rsid w:val="4C5B648B"/>
    <w:rsid w:val="4CD57BE9"/>
    <w:rsid w:val="4CFE79BF"/>
    <w:rsid w:val="4D0701EA"/>
    <w:rsid w:val="4D073599"/>
    <w:rsid w:val="4D2A2D10"/>
    <w:rsid w:val="4D350D98"/>
    <w:rsid w:val="4D5F2D35"/>
    <w:rsid w:val="4D806A85"/>
    <w:rsid w:val="4DB4130B"/>
    <w:rsid w:val="4E1F1D28"/>
    <w:rsid w:val="4E3B36EF"/>
    <w:rsid w:val="4E41243B"/>
    <w:rsid w:val="4E627C8C"/>
    <w:rsid w:val="4E740A62"/>
    <w:rsid w:val="4E8C1402"/>
    <w:rsid w:val="4EA2381F"/>
    <w:rsid w:val="4EA65E2E"/>
    <w:rsid w:val="4EB77C34"/>
    <w:rsid w:val="4EF00D3E"/>
    <w:rsid w:val="4EF46853"/>
    <w:rsid w:val="4F4B6A0C"/>
    <w:rsid w:val="4F552FB6"/>
    <w:rsid w:val="4FE75DA8"/>
    <w:rsid w:val="4FE95A27"/>
    <w:rsid w:val="4FF50DB6"/>
    <w:rsid w:val="501D2317"/>
    <w:rsid w:val="502655AE"/>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741C7"/>
    <w:rsid w:val="52BD1813"/>
    <w:rsid w:val="52DF1EF5"/>
    <w:rsid w:val="52EE43D0"/>
    <w:rsid w:val="53074ECA"/>
    <w:rsid w:val="53100C92"/>
    <w:rsid w:val="53163E96"/>
    <w:rsid w:val="5328717E"/>
    <w:rsid w:val="534D44EA"/>
    <w:rsid w:val="536D080A"/>
    <w:rsid w:val="53854CE8"/>
    <w:rsid w:val="53DD0610"/>
    <w:rsid w:val="53E15A06"/>
    <w:rsid w:val="540E7263"/>
    <w:rsid w:val="542C4446"/>
    <w:rsid w:val="54324007"/>
    <w:rsid w:val="543E3443"/>
    <w:rsid w:val="545E0B04"/>
    <w:rsid w:val="547F3EAC"/>
    <w:rsid w:val="54AD4386"/>
    <w:rsid w:val="550D36BA"/>
    <w:rsid w:val="550F128B"/>
    <w:rsid w:val="555F6A99"/>
    <w:rsid w:val="55704ABA"/>
    <w:rsid w:val="55C302C1"/>
    <w:rsid w:val="55E34358"/>
    <w:rsid w:val="55E818E2"/>
    <w:rsid w:val="55EE0B3F"/>
    <w:rsid w:val="56110DC0"/>
    <w:rsid w:val="561D5ED7"/>
    <w:rsid w:val="563A103B"/>
    <w:rsid w:val="564D2C05"/>
    <w:rsid w:val="567E0161"/>
    <w:rsid w:val="568C7AED"/>
    <w:rsid w:val="569870E2"/>
    <w:rsid w:val="569A32A2"/>
    <w:rsid w:val="56A906C7"/>
    <w:rsid w:val="56B45894"/>
    <w:rsid w:val="56F163E4"/>
    <w:rsid w:val="56F7363C"/>
    <w:rsid w:val="56FE2FC7"/>
    <w:rsid w:val="5746755B"/>
    <w:rsid w:val="575531FC"/>
    <w:rsid w:val="57704091"/>
    <w:rsid w:val="57757E70"/>
    <w:rsid w:val="57952240"/>
    <w:rsid w:val="57C16588"/>
    <w:rsid w:val="57E960E5"/>
    <w:rsid w:val="57F731DF"/>
    <w:rsid w:val="580018F0"/>
    <w:rsid w:val="580200C5"/>
    <w:rsid w:val="584925CC"/>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527A35"/>
    <w:rsid w:val="5B654180"/>
    <w:rsid w:val="5B925F49"/>
    <w:rsid w:val="5BAC183B"/>
    <w:rsid w:val="5BBA658A"/>
    <w:rsid w:val="5BDB4DDD"/>
    <w:rsid w:val="5BDD0946"/>
    <w:rsid w:val="5BE424D0"/>
    <w:rsid w:val="5C0056E3"/>
    <w:rsid w:val="5C3C27FA"/>
    <w:rsid w:val="5C440F34"/>
    <w:rsid w:val="5C4D0D79"/>
    <w:rsid w:val="5C7E26CE"/>
    <w:rsid w:val="5CBC5AAE"/>
    <w:rsid w:val="5CD530DD"/>
    <w:rsid w:val="5CD728E8"/>
    <w:rsid w:val="5D0945D5"/>
    <w:rsid w:val="5D281862"/>
    <w:rsid w:val="5D2F02AA"/>
    <w:rsid w:val="5D6F32DB"/>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4521AE"/>
    <w:rsid w:val="5FA41BF6"/>
    <w:rsid w:val="5FAC535B"/>
    <w:rsid w:val="5FB4440F"/>
    <w:rsid w:val="5FC205DF"/>
    <w:rsid w:val="5FD53A4A"/>
    <w:rsid w:val="5FDB7FB7"/>
    <w:rsid w:val="5FE036E7"/>
    <w:rsid w:val="602A6F19"/>
    <w:rsid w:val="60957760"/>
    <w:rsid w:val="60C83197"/>
    <w:rsid w:val="60D422E8"/>
    <w:rsid w:val="60DD2497"/>
    <w:rsid w:val="610C38DB"/>
    <w:rsid w:val="613A51FB"/>
    <w:rsid w:val="61493688"/>
    <w:rsid w:val="615109B8"/>
    <w:rsid w:val="616A31C3"/>
    <w:rsid w:val="61876607"/>
    <w:rsid w:val="620768AC"/>
    <w:rsid w:val="62080687"/>
    <w:rsid w:val="621B1BD2"/>
    <w:rsid w:val="624B419E"/>
    <w:rsid w:val="625207B2"/>
    <w:rsid w:val="62676E01"/>
    <w:rsid w:val="62BA0206"/>
    <w:rsid w:val="63004EE0"/>
    <w:rsid w:val="63141162"/>
    <w:rsid w:val="634F383A"/>
    <w:rsid w:val="64356146"/>
    <w:rsid w:val="649D102D"/>
    <w:rsid w:val="64A647DB"/>
    <w:rsid w:val="64CB034A"/>
    <w:rsid w:val="64D7377C"/>
    <w:rsid w:val="64FD5CA2"/>
    <w:rsid w:val="652F1D8E"/>
    <w:rsid w:val="653757DF"/>
    <w:rsid w:val="657D56E3"/>
    <w:rsid w:val="65890FF7"/>
    <w:rsid w:val="658B25DD"/>
    <w:rsid w:val="659375C8"/>
    <w:rsid w:val="65AA5B01"/>
    <w:rsid w:val="65FB5D5A"/>
    <w:rsid w:val="66333A39"/>
    <w:rsid w:val="665603F0"/>
    <w:rsid w:val="66614B15"/>
    <w:rsid w:val="66700A1C"/>
    <w:rsid w:val="66876CE5"/>
    <w:rsid w:val="66A7409B"/>
    <w:rsid w:val="66CB2934"/>
    <w:rsid w:val="66CD03B4"/>
    <w:rsid w:val="66D97A4A"/>
    <w:rsid w:val="66DA41AF"/>
    <w:rsid w:val="6728304C"/>
    <w:rsid w:val="678126D4"/>
    <w:rsid w:val="67897C06"/>
    <w:rsid w:val="68076E37"/>
    <w:rsid w:val="6817276F"/>
    <w:rsid w:val="68440CCE"/>
    <w:rsid w:val="68456DDE"/>
    <w:rsid w:val="685409C3"/>
    <w:rsid w:val="686270C5"/>
    <w:rsid w:val="68680A3E"/>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41101C"/>
    <w:rsid w:val="6B51691F"/>
    <w:rsid w:val="6B580A03"/>
    <w:rsid w:val="6B6504AF"/>
    <w:rsid w:val="6B8D7417"/>
    <w:rsid w:val="6BFB7933"/>
    <w:rsid w:val="6C125A80"/>
    <w:rsid w:val="6C3B6917"/>
    <w:rsid w:val="6C555EA7"/>
    <w:rsid w:val="6C5E7372"/>
    <w:rsid w:val="6C737CFB"/>
    <w:rsid w:val="6C8B77CE"/>
    <w:rsid w:val="6C952DF1"/>
    <w:rsid w:val="6CB42573"/>
    <w:rsid w:val="6CB829EE"/>
    <w:rsid w:val="6CD51C5E"/>
    <w:rsid w:val="6D02479A"/>
    <w:rsid w:val="6D090170"/>
    <w:rsid w:val="6D36133C"/>
    <w:rsid w:val="6D514C97"/>
    <w:rsid w:val="6D893C07"/>
    <w:rsid w:val="6D9C0A3F"/>
    <w:rsid w:val="6DA944F5"/>
    <w:rsid w:val="6DEB6263"/>
    <w:rsid w:val="6DEF55B7"/>
    <w:rsid w:val="6DF2033E"/>
    <w:rsid w:val="6E0B4918"/>
    <w:rsid w:val="6E36463E"/>
    <w:rsid w:val="6E791F84"/>
    <w:rsid w:val="6E891F61"/>
    <w:rsid w:val="6F131548"/>
    <w:rsid w:val="6F3E7BF1"/>
    <w:rsid w:val="6F49379B"/>
    <w:rsid w:val="6F67077C"/>
    <w:rsid w:val="6F690D5D"/>
    <w:rsid w:val="6F784AF0"/>
    <w:rsid w:val="6F817B43"/>
    <w:rsid w:val="6FC67383"/>
    <w:rsid w:val="6FD10DFF"/>
    <w:rsid w:val="6FEC0A99"/>
    <w:rsid w:val="6FF356A3"/>
    <w:rsid w:val="70074822"/>
    <w:rsid w:val="705649CA"/>
    <w:rsid w:val="707E0F40"/>
    <w:rsid w:val="708F35D8"/>
    <w:rsid w:val="709E4B2B"/>
    <w:rsid w:val="70E108B8"/>
    <w:rsid w:val="70E62748"/>
    <w:rsid w:val="710342FF"/>
    <w:rsid w:val="7104137A"/>
    <w:rsid w:val="710C7168"/>
    <w:rsid w:val="7150636D"/>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3DD17AC"/>
    <w:rsid w:val="740857E9"/>
    <w:rsid w:val="744422CE"/>
    <w:rsid w:val="744B02AA"/>
    <w:rsid w:val="744E5B9C"/>
    <w:rsid w:val="74620891"/>
    <w:rsid w:val="74666E87"/>
    <w:rsid w:val="746B335A"/>
    <w:rsid w:val="74B132B3"/>
    <w:rsid w:val="755551A3"/>
    <w:rsid w:val="756D03F6"/>
    <w:rsid w:val="758F2DC9"/>
    <w:rsid w:val="75971777"/>
    <w:rsid w:val="75E12BAC"/>
    <w:rsid w:val="75EC4704"/>
    <w:rsid w:val="760E3638"/>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3A55D9"/>
    <w:rsid w:val="773D4AC3"/>
    <w:rsid w:val="773E7363"/>
    <w:rsid w:val="774D0E49"/>
    <w:rsid w:val="775D6EE5"/>
    <w:rsid w:val="77CC61AD"/>
    <w:rsid w:val="77CD4BBB"/>
    <w:rsid w:val="77E93077"/>
    <w:rsid w:val="77FB61A9"/>
    <w:rsid w:val="78320A3F"/>
    <w:rsid w:val="786833C9"/>
    <w:rsid w:val="788F2197"/>
    <w:rsid w:val="789C045F"/>
    <w:rsid w:val="78A55AA8"/>
    <w:rsid w:val="78D6764B"/>
    <w:rsid w:val="78DE299F"/>
    <w:rsid w:val="78E71CAD"/>
    <w:rsid w:val="790B6EC6"/>
    <w:rsid w:val="79904253"/>
    <w:rsid w:val="79927E6B"/>
    <w:rsid w:val="79C42B56"/>
    <w:rsid w:val="79EF64B4"/>
    <w:rsid w:val="79F36DB4"/>
    <w:rsid w:val="79FA5CDF"/>
    <w:rsid w:val="7A0635C0"/>
    <w:rsid w:val="7A381E4C"/>
    <w:rsid w:val="7A4B0019"/>
    <w:rsid w:val="7A697680"/>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CD73D04"/>
    <w:rsid w:val="7D513B99"/>
    <w:rsid w:val="7D5F46D6"/>
    <w:rsid w:val="7D7653AD"/>
    <w:rsid w:val="7D795D3A"/>
    <w:rsid w:val="7D7E410B"/>
    <w:rsid w:val="7D8C14D6"/>
    <w:rsid w:val="7DF0192C"/>
    <w:rsid w:val="7E4D2479"/>
    <w:rsid w:val="7E5C27F5"/>
    <w:rsid w:val="7E8E4B18"/>
    <w:rsid w:val="7E987185"/>
    <w:rsid w:val="7ED11BDF"/>
    <w:rsid w:val="7EDD5D31"/>
    <w:rsid w:val="7EEF71C5"/>
    <w:rsid w:val="7EF127D4"/>
    <w:rsid w:val="7EF23F1B"/>
    <w:rsid w:val="7F25385E"/>
    <w:rsid w:val="7F3541C2"/>
    <w:rsid w:val="7F361C43"/>
    <w:rsid w:val="7F7722CD"/>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7</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2024-06-08T11:39:52Z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