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rtl w:val="0"/>
        </w:rPr>
        <w:t xml:space="preserve">Incident handler's journal</w:t>
      </w:r>
    </w:p>
    <w:p w:rsidR="00000000" w:rsidDel="00000000" w:rsidP="00000000" w:rsidRDefault="00000000" w:rsidRPr="00000000" w14:paraId="00000002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color w:val="3c4043"/>
        </w:rPr>
      </w:pPr>
      <w:r w:rsidDel="00000000" w:rsidR="00000000" w:rsidRPr="00000000">
        <w:rPr>
          <w:rFonts w:ascii="Google Sans" w:cs="Google Sans" w:eastAsia="Google Sans" w:hAnsi="Google Sans"/>
          <w:color w:val="3c4043"/>
          <w:rtl w:val="0"/>
        </w:rPr>
        <w:t xml:space="preserve">This document contains incident response journal entries completed as part of the Google Cybersecurity Certificate. Each entry is based on a simulated scenario designed to demonstrate incident handling, documentation, and analysis skills.</w:t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1815"/>
        <w:gridCol w:w="2985"/>
        <w:gridCol w:w="2985"/>
        <w:tblGridChange w:id="0">
          <w:tblGrid>
            <w:gridCol w:w="2295"/>
            <w:gridCol w:w="1815"/>
            <w:gridCol w:w="2985"/>
            <w:gridCol w:w="2985"/>
          </w:tblGrid>
        </w:tblGridChange>
      </w:tblGrid>
      <w:tr>
        <w:trPr>
          <w:cantSplit w:val="0"/>
          <w:trHeight w:val="706.319999999999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Date: July 1, 2025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Entry: 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ransomware attack targeted a small healthcare clinic in Western Australia, causing a complete shutdown of operations after staff reported they couldn’t access medical records or systems. A ransom note was displayed on employee computers demanding payment to decrypt the files.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None at this stage. Tools to be considered for incident investigation may include antivirus software, email security tools, backup systems, and forensic analysis platforms.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Who: An organized group of unethical hackers known for targeting healthcare and transportation sectors.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What: Attackers sent phishing emails with malicious attachments. Once opened, ransomware encrypted critical files and demanded payment.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When: The incident occurred on Tuesday, July 1, 2025, at approximately 9:00 a.m.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Where: At a small healthcare clinic located in Western Australia.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Why: The incident happened due to a successful phishing campaign exploiting employee action, allowing ransomware to be deployed and critical systems to be encrypted.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This incident highlights the critical need for phishing awareness training, email filtering, and reliable data backup systems. A formal incident response plan should be implemented and tested regularly.</w:t>
            </w:r>
          </w:p>
        </w:tc>
      </w:tr>
    </w:tbl>
    <w:p w:rsidR="00000000" w:rsidDel="00000000" w:rsidP="00000000" w:rsidRDefault="00000000" w:rsidRPr="00000000" w14:paraId="0000001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55"/>
        <w:gridCol w:w="1755"/>
        <w:gridCol w:w="2985"/>
        <w:gridCol w:w="2985"/>
        <w:tblGridChange w:id="0">
          <w:tblGrid>
            <w:gridCol w:w="2355"/>
            <w:gridCol w:w="17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Date</w:t>
            </w: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July 21, 2025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Entry: 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data leakage incident occurred at a WA healthcare clinic due to a misconfigured cloud storage bucket. Sensitive patient information was inadvertently made publicly accessible, prompting an urgent response from the IT security team.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Cloud Security Posture Management (CSPM), Azure configuration scanner, and data loss prevention (DLP) tool.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Who: The Internal IT team unintentionally misconfigured a cloud storage setting.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What: A cloud bucket containing sensitive patient records (including personally identifiable information) was exposed to the public internet without authentication.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When: The exposure was discovered during a routine security audit on the morning of July 21, 2025.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Where: The issue occurred in the cloud infrastructure used by a WA-based healthcare provider.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Why: A lack of automated misconfiguration detection and poor access control policies led to the accidental data exposure.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This incident emphasizes the importance of cloud security audits, automated configuration monitoring, and regular staff training. Implementing Infrastructure as Code (IaC) with security guardrails could prevent similar incidents.</w:t>
            </w:r>
          </w:p>
        </w:tc>
      </w:tr>
    </w:tbl>
    <w:p w:rsidR="00000000" w:rsidDel="00000000" w:rsidP="00000000" w:rsidRDefault="00000000" w:rsidRPr="00000000" w14:paraId="00000036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ind w:left="-360" w:right="-360" w:firstLine="0"/>
        <w:rPr>
          <w:rFonts w:ascii="Google Sans" w:cs="Google Sans" w:eastAsia="Google Sans" w:hAnsi="Google Sans"/>
          <w:b w:val="1"/>
          <w:color w:val="3c4043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