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8B0000"/>
        </w:rPr>
        <w:t>INDIVIDUAL CASE SAFETY REPORT (ICSR)</w:t>
      </w:r>
    </w:p>
    <w:p>
      <w:r>
        <w:rPr>
          <w:b w:val="0"/>
          <w:i/>
          <w:color w:val="A00000"/>
        </w:rPr>
        <w:t>CIOMS Form — Partially Completed | DRAFT — Not Verified</w:t>
      </w:r>
    </w:p>
    <w:p>
      <w:pPr>
        <w:pBdr>
          <w:bottom w:val="single" w:sz="6" w:space="1" w:color="999999"/>
        </w:pBdr>
      </w:pPr>
    </w:p>
    <w:p>
      <w:r>
        <w:rPr>
          <w:b/>
          <w:sz w:val="20"/>
        </w:rPr>
        <w:t xml:space="preserve">Case Reference: </w:t>
      </w:r>
      <w:r>
        <w:rPr>
          <w:sz w:val="20"/>
        </w:rPr>
        <w:t>SAE-2024-KA-0178 (DRAFT)</w:t>
      </w:r>
    </w:p>
    <w:p>
      <w:r>
        <w:rPr>
          <w:b/>
          <w:sz w:val="20"/>
        </w:rPr>
        <w:t xml:space="preserve">Report Type: </w:t>
      </w:r>
      <w:r>
        <w:rPr>
          <w:sz w:val="20"/>
        </w:rPr>
        <w:t>Initial — 15-Day Expedited</w:t>
      </w:r>
    </w:p>
    <w:p>
      <w:r>
        <w:rPr>
          <w:b/>
          <w:sz w:val="20"/>
        </w:rPr>
        <w:t xml:space="preserve">Date of Report: </w:t>
      </w:r>
      <w:r>
        <w:rPr>
          <w:sz w:val="20"/>
        </w:rPr>
        <w:t>12 March 2024</w:t>
      </w:r>
    </w:p>
    <w:p>
      <w:r>
        <w:rPr>
          <w:b/>
          <w:sz w:val="20"/>
        </w:rPr>
        <w:t xml:space="preserve">Date of Event: </w:t>
      </w:r>
      <w:r>
        <w:rPr>
          <w:sz w:val="20"/>
        </w:rPr>
        <w:t>01 March 2024</w:t>
      </w:r>
    </w:p>
    <w:p>
      <w:r>
        <w:rPr>
          <w:b/>
          <w:sz w:val="20"/>
        </w:rPr>
        <w:t xml:space="preserve">Date Sponsor Received: </w:t>
      </w:r>
      <w:r>
        <w:rPr>
          <w:sz w:val="20"/>
        </w:rPr>
        <w:t>05 March 2024</w:t>
      </w:r>
    </w:p>
    <w:p>
      <w:r>
        <w:rPr>
          <w:b/>
          <w:sz w:val="20"/>
        </w:rPr>
        <w:t xml:space="preserve">Sponsor: </w:t>
      </w:r>
      <w:r>
        <w:rPr>
          <w:sz w:val="20"/>
        </w:rPr>
        <w:t>BioGenix Therapeutics India Pvt. Ltd., Bengaluru</w:t>
      </w:r>
    </w:p>
    <w:p>
      <w:r>
        <w:rPr>
          <w:b/>
          <w:sz w:val="20"/>
        </w:rPr>
        <w:t xml:space="preserve">Drug: </w:t>
      </w:r>
      <w:r>
        <w:rPr>
          <w:sz w:val="20"/>
        </w:rPr>
        <w:t>Tocilizumab (RoActemra) 8mg/kg IV infusion — Study drug (biosimilar — BGX-TCZ-01)</w:t>
      </w:r>
    </w:p>
    <w:p>
      <w:r>
        <w:rPr>
          <w:b/>
          <w:sz w:val="20"/>
        </w:rPr>
        <w:t xml:space="preserve">Protocol No.: </w:t>
      </w:r>
      <w:r>
        <w:rPr>
          <w:sz w:val="20"/>
        </w:rPr>
        <w:t>BGX-RA-2022-01 (Phase III RA study)</w:t>
      </w:r>
    </w:p>
    <w:p>
      <w:r>
        <w:rPr>
          <w:b/>
          <w:sz w:val="20"/>
        </w:rPr>
        <w:t xml:space="preserve">Site: </w:t>
      </w:r>
      <w:r>
        <w:rPr>
          <w:sz w:val="20"/>
        </w:rPr>
        <w:t>St. John's Medical College, Bengaluru — Site IN-003</w:t>
      </w:r>
    </w:p>
    <w:p>
      <w:r>
        <w:rPr>
          <w:b/>
          <w:sz w:val="20"/>
        </w:rPr>
        <w:t xml:space="preserve">PI: </w:t>
      </w:r>
      <w:r>
        <w:rPr>
          <w:sz w:val="20"/>
        </w:rPr>
        <w:t>Dr. Latha Krishnamurthy, MD, DM Rheumatology</w:t>
      </w:r>
    </w:p>
    <w:p/>
    <w:p>
      <w:pPr>
        <w:pStyle w:val="Heading2"/>
      </w:pPr>
      <w:r>
        <w:t>Patient Information</w:t>
      </w:r>
    </w:p>
    <w:p>
      <w:r>
        <w:rPr>
          <w:b/>
          <w:sz w:val="20"/>
        </w:rPr>
        <w:t xml:space="preserve">Patient ID: </w:t>
      </w:r>
      <w:r>
        <w:rPr>
          <w:sz w:val="20"/>
        </w:rPr>
        <w:t>BGX-RA-IN003-0019</w:t>
      </w:r>
    </w:p>
    <w:p>
      <w:r>
        <w:rPr>
          <w:b/>
          <w:sz w:val="20"/>
        </w:rPr>
        <w:t xml:space="preserve">Age/Sex: </w:t>
      </w:r>
      <w:r>
        <w:rPr>
          <w:sz w:val="20"/>
        </w:rPr>
        <w:t>61F</w:t>
      </w:r>
    </w:p>
    <w:p>
      <w:r>
        <w:rPr>
          <w:b/>
          <w:sz w:val="20"/>
        </w:rPr>
        <w:t xml:space="preserve">Weight: </w:t>
      </w:r>
      <w:r>
        <w:rPr>
          <w:sz w:val="20"/>
        </w:rPr>
        <w:t>54 kg</w:t>
      </w:r>
    </w:p>
    <w:p>
      <w:r>
        <w:rPr>
          <w:b/>
          <w:sz w:val="20"/>
        </w:rPr>
        <w:t xml:space="preserve">Indication: </w:t>
      </w:r>
      <w:r>
        <w:rPr>
          <w:sz w:val="20"/>
        </w:rPr>
        <w:t>Moderate-to-Severe Rheumatoid Arthritis, inadequate response to MTX</w:t>
      </w:r>
    </w:p>
    <w:p>
      <w:r>
        <w:rPr>
          <w:b/>
          <w:sz w:val="20"/>
        </w:rPr>
        <w:t xml:space="preserve">Medical History: </w:t>
      </w:r>
      <w:r>
        <w:rPr>
          <w:sz w:val="20"/>
        </w:rPr>
        <w:t>Type 2 DM, Hypertension, Hypothyroidism (on Levothyroxine 50mcg)</w:t>
      </w:r>
    </w:p>
    <w:p>
      <w:r>
        <w:rPr>
          <w:b/>
          <w:sz w:val="20"/>
        </w:rPr>
        <w:t xml:space="preserve">Concomitant Meds: </w:t>
      </w:r>
      <w:r>
        <w:rPr>
          <w:sz w:val="20"/>
        </w:rPr>
        <w:t>Metformin 500mg BD, Amlodipine 5mg OD, Levothyroxine 50mcg OD, Folic Acid 5mg weekly</w:t>
      </w:r>
    </w:p>
    <w:p/>
    <w:p>
      <w:pPr>
        <w:pStyle w:val="Heading2"/>
      </w:pPr>
      <w:r>
        <w:t>Event Narrative</w:t>
      </w:r>
    </w:p>
    <w:p>
      <w:r>
        <w:rPr>
          <w:b w:val="0"/>
          <w:i w:val="0"/>
        </w:rPr>
        <w:t>Patient received 5th infusion of BGX-TCZ-01 (8mg/kg = 432mg IV) on 01 March 2024. Approximately 3 hours post-infusion, patient developed high grade fever (39.8°C), rigors, hypotension (BP 78/46 mmHg), tachycardia (HR 128/min). Infusion had been completed at that point.</w:t>
        <w:br/>
        <w:br/>
        <w:t>Patient was given IV fluids (NS 500ml bolus), IV Paracetamol, and IV Hydrocortisone 200mg. Response was partial — BP improved to 92/60 within 30 minutes. Patient was admitted to ICU for monitoring.</w:t>
        <w:br/>
        <w:br/>
        <w:t>ICU Course (01–04 March 2024):</w:t>
        <w:br/>
        <w:t>— Blood cultures sent on admission. Results: No growth (5 days). Procalcitonin: 4.1 ng/mL (elevated). CRP: 187 mg/L.</w:t>
        <w:br/>
        <w:t>— Chest X-ray: Bilateral lower zone haziness — ? early ARDS vs fluid overload.</w:t>
        <w:br/>
        <w:t>— Ferritin: 8,400 ng/mL (severely elevated). IL-6 levels: Not done (lab not available at site).</w:t>
        <w:br/>
        <w:t>— Impression: Infusion-related reaction vs Cytokine Release Syndrome (CRS) — cannot exclude early sepsis.</w:t>
        <w:br/>
        <w:t>— Broad-spectrum antibiotics started (Piperacillin-Tazobactam + Amikacin). Continued for 5 days.</w:t>
        <w:br/>
        <w:t>— ICU stay: 4 days. Transferred to general ward 05 March 2024. Discharged 08 March 2024.</w:t>
        <w:br/>
        <w:t>— At discharge: BP 118/74, HR 88. Mild residual fatigue. No organ failure documented at discharge.</w:t>
        <w:br/>
        <w:br/>
        <w:t>Outcome: Recovered with sequelae (fatigue persists — unable to perform daily activities without assistance as of report date 12 March 2024).</w:t>
      </w:r>
    </w:p>
    <w:p/>
    <w:p>
      <w:pPr>
        <w:pStyle w:val="Heading2"/>
      </w:pPr>
      <w:r>
        <w:t>Causality Assessment</w:t>
      </w:r>
    </w:p>
    <w:p>
      <w:r>
        <w:rPr>
          <w:b w:val="0"/>
          <w:i w:val="0"/>
          <w:color w:val="A00000"/>
        </w:rPr>
        <w:t>PI Assessment: [NOT COMPLETED — PI unavailable at time of report preparation. To be updated in follow-up.]</w:t>
      </w:r>
    </w:p>
    <w:p>
      <w:r>
        <w:rPr>
          <w:b w:val="0"/>
          <w:i/>
        </w:rPr>
        <w:t>Sponsor Medical Monitor Assessment: Possible — temporal relationship with infusion. Cannot rule out CRS. Pending further information.</w:t>
      </w:r>
    </w:p>
    <w:p>
      <w:r>
        <w:rPr>
          <w:b/>
          <w:sz w:val="20"/>
        </w:rPr>
        <w:t xml:space="preserve">Expectedness: </w:t>
      </w:r>
      <w:r>
        <w:rPr>
          <w:sz w:val="20"/>
        </w:rPr>
        <w:t>Listed in IB v3.0 (mild-moderate infusion reactions) — Grade 3-4 CRS is NOT listed. Unexpected.</w:t>
      </w:r>
    </w:p>
    <w:p>
      <w:r>
        <w:rPr>
          <w:b/>
          <w:sz w:val="20"/>
        </w:rPr>
        <w:t xml:space="preserve">Previous Similar Events in Study: </w:t>
      </w:r>
      <w:r>
        <w:rPr>
          <w:sz w:val="20"/>
        </w:rPr>
        <w:t>1 prior mild infusion reaction (Grade 1, self-limiting) at Site IN-001 in November 2023. This case is Grade 3-4.</w:t>
      </w:r>
    </w:p>
    <w:p/>
    <w:p>
      <w:pPr>
        <w:pStyle w:val="Heading2"/>
      </w:pPr>
      <w:r>
        <w:t>Seriousness Criteria</w:t>
      </w:r>
    </w:p>
    <w:p>
      <w:r>
        <w:rPr>
          <w:b w:val="0"/>
          <w:i w:val="0"/>
        </w:rPr>
        <w:t>[ ] Death</w:t>
        <w:br/>
        <w:t>[?] Life-Threatening — hypotension responded to treatment; unclear if patient was 'at immediate risk of death'</w:t>
        <w:br/>
        <w:t>[X] Hospitalisation Required — admitted to ICU 4 days</w:t>
        <w:br/>
        <w:t>[ ] Persistent Disability — fatigue present but expected to resolve</w:t>
        <w:br/>
        <w:t>[ ] Congenital Anomaly</w:t>
        <w:br/>
        <w:t>[?] Medically Important — CRS with ferritin 8400 may represent significant immune event</w:t>
        <w:br/>
        <w:br/>
        <w:t>NOTE: Primary reportable criterion selected as Hospitalisation Required. However, Life-Threatening status DEBATED — see internal memo dated 06/03/2024 (attached — NOT INCLUDED IN THIS SUBMISSION).</w:t>
      </w:r>
    </w:p>
    <w:p/>
    <w:p>
      <w:pPr>
        <w:pStyle w:val="Heading2"/>
      </w:pPr>
      <w:r>
        <w:t>Sections Not Completed</w:t>
      </w:r>
    </w:p>
    <w:p>
      <w:r>
        <w:rPr>
          <w:b w:val="0"/>
          <w:i w:val="0"/>
          <w:color w:val="A00000"/>
        </w:rPr>
        <w:t>The following mandatory fields are MISSING from this initial report:</w:t>
      </w:r>
    </w:p>
    <w:p>
      <w:pPr>
        <w:pStyle w:val="ListBullet"/>
      </w:pPr>
      <w:r>
        <w:t>PI causality assessment (PI travelling, return date unknown)</w:t>
      </w:r>
    </w:p>
    <w:p>
      <w:pPr>
        <w:pStyle w:val="ListBullet"/>
      </w:pPr>
      <w:r>
        <w:t>Dechallenge/rechallenge assessment — drug permanently discontinued, rechallenge not planned</w:t>
      </w:r>
    </w:p>
    <w:p>
      <w:pPr>
        <w:pStyle w:val="ListBullet"/>
      </w:pPr>
      <w:r>
        <w:t>Narrative of concomitant medication changes during event</w:t>
      </w:r>
    </w:p>
    <w:p>
      <w:pPr>
        <w:pStyle w:val="ListBullet"/>
      </w:pPr>
      <w:r>
        <w:t>Laboratory data annexure (partial data only in narrative)</w:t>
      </w:r>
    </w:p>
    <w:p>
      <w:pPr>
        <w:pStyle w:val="ListBullet"/>
      </w:pPr>
      <w:r>
        <w:t>DSMB notification status — unknown if notified</w:t>
      </w:r>
    </w:p>
    <w:p>
      <w:r>
        <w:rPr>
          <w:b/>
          <w:i w:val="0"/>
          <w:color w:val="A00000"/>
        </w:rPr>
        <w:t>This report is a draft. Full report will be submitted within 7 days. Please do not forward to CDSCO until verified.</w:t>
      </w:r>
    </w:p>
    <w:p>
      <w:pPr>
        <w:pBdr>
          <w:bottom w:val="single" w:sz="6" w:space="1" w:color="999999"/>
        </w:pBdr>
      </w:pPr>
    </w:p>
    <w:p>
      <w:r>
        <w:rPr>
          <w:b w:val="0"/>
          <w:i/>
          <w:sz w:val="18"/>
        </w:rPr>
        <w:t>Prepared by: Mr. Arun Kumar, PV Associate, BioGenix Therapeutics | Date: 12 March 2024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