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500050"/>
        </w:rPr>
        <w:t>INDIVIDUAL CASE SAFETY REPORT — CASE A</w:t>
      </w:r>
    </w:p>
    <w:p>
      <w:r>
        <w:rPr>
          <w:b w:val="0"/>
          <w:i/>
        </w:rPr>
        <w:t>Reference: SAE-2024-TN-0291-A | Initial Report | Submitted: 18 February 2024</w:t>
      </w:r>
    </w:p>
    <w:p>
      <w:pPr>
        <w:pBdr>
          <w:bottom w:val="single" w:sz="6" w:space="1" w:color="999999"/>
        </w:pBdr>
      </w:pPr>
    </w:p>
    <w:p>
      <w:r>
        <w:rPr>
          <w:b/>
          <w:sz w:val="20"/>
        </w:rPr>
        <w:t xml:space="preserve">Drug: </w:t>
      </w:r>
      <w:r>
        <w:rPr>
          <w:sz w:val="20"/>
        </w:rPr>
        <w:t>Rituximab (MabThera) 375 mg/m² IV — Cycle 3</w:t>
      </w:r>
    </w:p>
    <w:p>
      <w:r>
        <w:rPr>
          <w:b/>
          <w:sz w:val="20"/>
        </w:rPr>
        <w:t xml:space="preserve">Sponsor: </w:t>
      </w:r>
      <w:r>
        <w:rPr>
          <w:sz w:val="20"/>
        </w:rPr>
        <w:t>Roche Products India Pvt. Ltd.</w:t>
      </w:r>
    </w:p>
    <w:p>
      <w:r>
        <w:rPr>
          <w:b/>
          <w:sz w:val="20"/>
        </w:rPr>
        <w:t xml:space="preserve">Study: </w:t>
      </w:r>
      <w:r>
        <w:rPr>
          <w:sz w:val="20"/>
        </w:rPr>
        <w:t>RIT-NHL-2022-02 — Phase II, Diffuse Large B-Cell Lymphoma</w:t>
      </w:r>
    </w:p>
    <w:p>
      <w:r>
        <w:rPr>
          <w:b/>
          <w:sz w:val="20"/>
        </w:rPr>
        <w:t xml:space="preserve">Site: </w:t>
      </w:r>
      <w:r>
        <w:rPr>
          <w:sz w:val="20"/>
        </w:rPr>
        <w:t>Cancer Institute (WIA), Adyar, Chennai — Site IN-007</w:t>
      </w:r>
    </w:p>
    <w:p>
      <w:r>
        <w:rPr>
          <w:b/>
          <w:sz w:val="20"/>
        </w:rPr>
        <w:t xml:space="preserve">Patient ID: </w:t>
      </w:r>
      <w:r>
        <w:rPr>
          <w:sz w:val="20"/>
        </w:rPr>
        <w:t>RIT-NHL-IN007-0033</w:t>
      </w:r>
    </w:p>
    <w:p>
      <w:r>
        <w:rPr>
          <w:b/>
          <w:sz w:val="20"/>
        </w:rPr>
        <w:t xml:space="preserve">Age/Sex: </w:t>
      </w:r>
      <w:r>
        <w:rPr>
          <w:sz w:val="20"/>
        </w:rPr>
        <w:t>48M</w:t>
      </w:r>
    </w:p>
    <w:p>
      <w:r>
        <w:rPr>
          <w:b/>
          <w:sz w:val="20"/>
        </w:rPr>
        <w:t xml:space="preserve">Date of Event: </w:t>
      </w:r>
      <w:r>
        <w:rPr>
          <w:sz w:val="20"/>
        </w:rPr>
        <w:t>09 February 2024</w:t>
      </w:r>
    </w:p>
    <w:p/>
    <w:p>
      <w:pPr>
        <w:pStyle w:val="Heading2"/>
      </w:pPr>
      <w:r>
        <w:t>Clinical Narrative</w:t>
      </w:r>
    </w:p>
    <w:p>
      <w:r>
        <w:rPr>
          <w:b w:val="0"/>
          <w:i w:val="0"/>
        </w:rPr>
        <w:t>Patient RIT-NHL-IN007-0033, a 48-year-old male with DLBCL (Stage III-B, Ann Arbor), received his third cycle of Rituximab infusion (375 mg/m² = 680mg) on 09 February 2024, commencing at 10:15 hrs. The infusion was initially proceeding at standard rate escalation.</w:t>
        <w:br/>
        <w:br/>
        <w:t>At 11:40 hrs (approximately 85 minutes post-commencement, total dose administered ~450mg), the patient developed acute anaphylaxis characterised by:</w:t>
        <w:br/>
        <w:t>— Urticaria: generalised, pruritic wheals across trunk and upper limbs</w:t>
        <w:br/>
        <w:t>— Angioedema: lip swelling, periorbital oedema</w:t>
        <w:br/>
        <w:t>— Bronchospasm: severe, SpO2 dropped to 83% on room air (baseline 98%)</w:t>
        <w:br/>
        <w:t>— Hypotension: BP fell to 72/40 mmHg (baseline 124/78 mmHg)</w:t>
        <w:br/>
        <w:t>— Tachycardia: HR 142 bpm</w:t>
        <w:br/>
        <w:t>— Loss of consciousness: brief (approximately 30 seconds)</w:t>
        <w:br/>
        <w:br/>
        <w:t>Infusion was IMMEDIATELY STOPPED. Emergency protocol activated. Adrenaline 0.5mg IM (thigh) administered at 11:42 hrs. IV antihistamine (Chlorpheniramine 10mg) and IV Hydrocortisone 200mg administered. High-flow O2 via face mask (15L/min). Patient transferred to resuscitation bay.</w:t>
        <w:br/>
        <w:br/>
        <w:t>Response to adrenaline was rapid — BP improved to 94/60 within 8 minutes. SpO2 recovered to 96% on O2. Second dose of adrenaline not required. Patient monitored for 24 hours in HDU. No recurrence of anaphylaxis. Discharged next day in stable condition.</w:t>
        <w:br/>
        <w:br/>
        <w:t>ICH E2A Seriousness: LIFE-THREATENING (patient was at immediate risk of death — loss of consciousness, SpO2 83%, BP 72/40).</w:t>
        <w:br/>
        <w:t>Causality: CERTAIN — clear temporal relationship, known class effect, positive dechallenge, no alternative explanation.</w:t>
        <w:br/>
        <w:t>Expectedness: LISTED in SmPC — anaphylaxis is a known ADR of Rituximab.</w:t>
      </w:r>
    </w:p>
    <w:p>
      <w:r>
        <w:rPr>
          <w:b/>
          <w:sz w:val="20"/>
        </w:rPr>
        <w:t xml:space="preserve">Outcome: </w:t>
      </w:r>
      <w:r>
        <w:rPr>
          <w:sz w:val="20"/>
        </w:rPr>
        <w:t>Recovered without sequelae</w:t>
      </w:r>
    </w:p>
    <w:p>
      <w:r>
        <w:rPr>
          <w:b/>
          <w:sz w:val="20"/>
        </w:rPr>
        <w:t xml:space="preserve">Action Taken: </w:t>
      </w:r>
      <w:r>
        <w:rPr>
          <w:sz w:val="20"/>
        </w:rPr>
        <w:t>Rituximab permanently discontinued. Oncologist to determine alternative regimen.</w:t>
      </w:r>
    </w:p>
    <w:p>
      <w:r>
        <w:rPr>
          <w:b/>
          <w:sz w:val="20"/>
        </w:rPr>
        <w:t xml:space="preserve">Regulatory Action: </w:t>
      </w:r>
      <w:r>
        <w:rPr>
          <w:sz w:val="20"/>
        </w:rPr>
        <w:t>7-Day expedited SUSAR report filed. DSMB notified 09 February 2024 (same day).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