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500050"/>
        </w:rPr>
        <w:t>ADVERSE EVENT REPORT — CASE B (FOLLOW-UP SUBMISSION)</w:t>
      </w:r>
    </w:p>
    <w:p>
      <w:r>
        <w:rPr>
          <w:b w:val="0"/>
          <w:i/>
        </w:rPr>
        <w:t>Reference: SAE-2024-TN-0291-B | Follow-Up Report | Submitted: 22 February 2024</w:t>
      </w:r>
    </w:p>
    <w:p>
      <w:r>
        <w:rPr>
          <w:b w:val="0"/>
          <w:i/>
        </w:rPr>
        <w:t>NOTE: This report was prepared by the site nurse coordinator from patient records. A separate medically reviewed ICSR (Case A) was submitted on 18 Feb 2024. This is a supplementary lay-language summary submitted at site's request.</w:t>
      </w:r>
    </w:p>
    <w:p>
      <w:pPr>
        <w:pBdr>
          <w:bottom w:val="single" w:sz="6" w:space="1" w:color="999999"/>
        </w:pBdr>
      </w:pPr>
    </w:p>
    <w:p>
      <w:r>
        <w:rPr>
          <w:b/>
          <w:sz w:val="20"/>
        </w:rPr>
        <w:t xml:space="preserve">Drug Name: </w:t>
      </w:r>
      <w:r>
        <w:rPr>
          <w:sz w:val="20"/>
        </w:rPr>
        <w:t>MabThera (Rituximab) — cancer treatment infusion, 3rd dose</w:t>
      </w:r>
    </w:p>
    <w:p>
      <w:r>
        <w:rPr>
          <w:b/>
          <w:sz w:val="20"/>
        </w:rPr>
        <w:t xml:space="preserve">Hospital: </w:t>
      </w:r>
      <w:r>
        <w:rPr>
          <w:sz w:val="20"/>
        </w:rPr>
        <w:t>Cancer Institute WIA, Adyar, Chennai</w:t>
      </w:r>
    </w:p>
    <w:p>
      <w:r>
        <w:rPr>
          <w:b/>
          <w:sz w:val="20"/>
        </w:rPr>
        <w:t xml:space="preserve">Patient Code: </w:t>
      </w:r>
      <w:r>
        <w:rPr>
          <w:sz w:val="20"/>
        </w:rPr>
        <w:t>IN007-0033 (48 year old male, DLBCL diagnosis)</w:t>
      </w:r>
    </w:p>
    <w:p>
      <w:r>
        <w:rPr>
          <w:b/>
          <w:sz w:val="20"/>
        </w:rPr>
        <w:t xml:space="preserve">Incident Date: </w:t>
      </w:r>
      <w:r>
        <w:rPr>
          <w:sz w:val="20"/>
        </w:rPr>
        <w:t>9th February 2024, morning session</w:t>
      </w:r>
    </w:p>
    <w:p/>
    <w:p>
      <w:pPr>
        <w:pStyle w:val="Heading2"/>
      </w:pPr>
      <w:r>
        <w:t>What Happened</w:t>
      </w:r>
    </w:p>
    <w:p>
      <w:r>
        <w:rPr>
          <w:b w:val="0"/>
          <w:i w:val="0"/>
        </w:rPr>
        <w:t>During the patient's third chemotherapy infusion session, about an hour and twenty minutes after the drip was started, the patient had a severe allergic reaction. The patient's blood pressure dropped very low, he developed skin rashes all over his body, his lips became swollen, and he was having severe difficulty breathing. His oxygen levels dropped very low (shown as 83% on the pulse oximeter). The patient briefly lost consciousness for a short period.</w:t>
        <w:br/>
        <w:br/>
        <w:t>The nursing staff immediately stopped the infusion and called the emergency team. The doctor on duty, Dr. Nirmala Selvam, gave an adrenaline injection immediately. The patient responded well to the emergency treatment — his blood pressure and oxygen levels came back to near-normal within about 10 minutes. He was shifted to the HDU ward for close monitoring overnight.</w:t>
        <w:br/>
        <w:br/>
        <w:t>The patient was doing well the next day and was allowed to go home. He did not have any further reactions after the treatment.</w:t>
        <w:br/>
        <w:br/>
        <w:t>The treating oncologist, Dr. Rajan Krishnan, has decided to stop this particular drug permanently and is looking at other treatment options for the patient's lymphoma.</w:t>
        <w:br/>
        <w:br/>
        <w:t>The incident has been reported to the study sponsor (Roche) on the same day as per protocol requirements.</w:t>
      </w:r>
    </w:p>
    <w:p>
      <w:r>
        <w:rPr>
          <w:b/>
          <w:sz w:val="20"/>
        </w:rPr>
        <w:t xml:space="preserve">Severity: </w:t>
      </w:r>
      <w:r>
        <w:rPr>
          <w:sz w:val="20"/>
        </w:rPr>
        <w:t>Severe — life-threatening allergic reaction (anaphylaxis)</w:t>
      </w:r>
    </w:p>
    <w:p>
      <w:r>
        <w:rPr>
          <w:b/>
          <w:sz w:val="20"/>
        </w:rPr>
        <w:t xml:space="preserve">Was the patient hospitalised?: </w:t>
      </w:r>
      <w:r>
        <w:rPr>
          <w:sz w:val="20"/>
        </w:rPr>
        <w:t>Yes — monitored overnight in HDU, discharged next day (10 February 2024)</w:t>
      </w:r>
    </w:p>
    <w:p>
      <w:r>
        <w:rPr>
          <w:b/>
          <w:sz w:val="20"/>
        </w:rPr>
        <w:t xml:space="preserve">Recovered?: </w:t>
      </w:r>
      <w:r>
        <w:rPr>
          <w:sz w:val="20"/>
        </w:rPr>
        <w:t>Yes — full recovery, no lasting effects</w:t>
      </w:r>
    </w:p>
    <w:p>
      <w:r>
        <w:rPr>
          <w:b/>
          <w:sz w:val="20"/>
        </w:rPr>
        <w:t xml:space="preserve">Was this expected?: </w:t>
      </w:r>
      <w:r>
        <w:rPr>
          <w:sz w:val="20"/>
        </w:rPr>
        <w:t>Allergic reactions to this drug are known, but this was very severe</w:t>
      </w:r>
    </w:p>
    <w:p>
      <w:r>
        <w:rPr>
          <w:b/>
          <w:sz w:val="20"/>
        </w:rPr>
        <w:t xml:space="preserve">Drug stopped?: </w:t>
      </w:r>
      <w:r>
        <w:rPr>
          <w:sz w:val="20"/>
        </w:rPr>
        <w:t>Yes — permanently</w:t>
      </w:r>
    </w:p>
    <w:p>
      <w:pPr>
        <w:pBdr>
          <w:bottom w:val="single" w:sz="6" w:space="1" w:color="999999"/>
        </w:pBdr>
      </w:pPr>
    </w:p>
    <w:p>
      <w:r>
        <w:rPr>
          <w:b w:val="0"/>
          <w:i/>
          <w:sz w:val="18"/>
        </w:rPr>
        <w:t>Submitted by: Ms. Deepa Rao, Site Research Coordinator, Cancer Institute WIA | Date: 22 February 2024</w:t>
      </w:r>
    </w:p>
    <w:p>
      <w:r>
        <w:rPr>
          <w:b w:val="0"/>
          <w:i w:val="0"/>
          <w:sz w:val="18"/>
        </w:rPr>
        <w:t>This is NOT a replacement for the medical ICSR filed separately. For official records, refer SAE-2024-TN-0291-A.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