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D7A"/>
        </w:rPr>
        <w:t>NEW DRUG APPLICATION — FORM 44</w:t>
      </w:r>
    </w:p>
    <w:p>
      <w:r>
        <w:rPr>
          <w:b w:val="0"/>
          <w:i/>
        </w:rPr>
        <w:t>As per Rule 21 read with Schedule Y, Drugs &amp; Cosmetics Act 1940 (amended)</w:t>
      </w:r>
    </w:p>
    <w:p>
      <w:r>
        <w:rPr>
          <w:b/>
          <w:i w:val="0"/>
        </w:rPr>
        <w:t>Submitted to: CDSCO, New Delhi | Submission Date: 20 March 2024 | Mode: Physical + SUGAM Portal</w:t>
      </w:r>
    </w:p>
    <w:p>
      <w:pPr>
        <w:pBdr>
          <w:bottom w:val="single" w:sz="6" w:space="1" w:color="999999"/>
        </w:pBdr>
      </w:pPr>
    </w:p>
    <w:p>
      <w:r>
        <w:rPr>
          <w:b/>
          <w:sz w:val="20"/>
        </w:rPr>
        <w:t xml:space="preserve">Application No.: </w:t>
      </w:r>
      <w:r>
        <w:rPr>
          <w:sz w:val="20"/>
        </w:rPr>
        <w:t>NDA/2024/DL/0445 (Auto-generated)</w:t>
      </w:r>
    </w:p>
    <w:p>
      <w:r>
        <w:rPr>
          <w:b/>
          <w:sz w:val="20"/>
        </w:rPr>
        <w:t xml:space="preserve">Application Type: </w:t>
      </w:r>
      <w:r>
        <w:rPr>
          <w:sz w:val="20"/>
        </w:rPr>
        <w:t>New Drug — Market Authorisation (Generic)</w:t>
      </w:r>
    </w:p>
    <w:p>
      <w:r>
        <w:rPr>
          <w:b/>
          <w:sz w:val="20"/>
        </w:rPr>
        <w:t xml:space="preserve">Applicant: </w:t>
      </w:r>
      <w:r>
        <w:rPr>
          <w:sz w:val="20"/>
        </w:rPr>
        <w:t>Zydus Lifesciences Limited</w:t>
      </w:r>
    </w:p>
    <w:p>
      <w:r>
        <w:rPr>
          <w:b/>
          <w:sz w:val="20"/>
        </w:rPr>
        <w:t xml:space="preserve">Registered Office: </w:t>
      </w:r>
      <w:r>
        <w:rPr>
          <w:sz w:val="20"/>
        </w:rPr>
        <w:t>Zydus Tower, Satellite Cross Roads, Ahmedabad — 380015, Gujarat</w:t>
      </w:r>
    </w:p>
    <w:p>
      <w:r>
        <w:rPr>
          <w:b/>
          <w:sz w:val="20"/>
        </w:rPr>
        <w:t xml:space="preserve">Manufacturing Site: </w:t>
      </w:r>
      <w:r>
        <w:rPr>
          <w:sz w:val="20"/>
        </w:rPr>
        <w:t>Survey No. 396/4, Moraiya, Sarkhej-Bavla NH No. 8A, Ahmedabad — 382213</w:t>
      </w:r>
    </w:p>
    <w:p>
      <w:r>
        <w:rPr>
          <w:b/>
          <w:sz w:val="20"/>
        </w:rPr>
        <w:t xml:space="preserve">Drug Licence: </w:t>
      </w:r>
      <w:r>
        <w:rPr>
          <w:sz w:val="20"/>
        </w:rPr>
        <w:t>GUJ/MFG/1995/0041 — Valid till 31 March 2026</w:t>
      </w:r>
    </w:p>
    <w:p>
      <w:r>
        <w:rPr>
          <w:b/>
          <w:sz w:val="20"/>
        </w:rPr>
        <w:t xml:space="preserve">Contact: </w:t>
      </w:r>
      <w:r>
        <w:rPr>
          <w:sz w:val="20"/>
        </w:rPr>
        <w:t>Dr. Dharav Shah, Head Regulatory Affairs | 079-68665000 | regulatory@zyduslife.com</w:t>
      </w:r>
    </w:p>
    <w:p/>
    <w:p>
      <w:pPr>
        <w:pStyle w:val="Heading2"/>
      </w:pPr>
      <w:r>
        <w:t>Part I: Drug / Product Details</w:t>
      </w:r>
    </w:p>
    <w:tbl>
      <w:tblPr>
        <w:tblStyle w:val="TableGrid"/>
        <w:tblW w:type="auto" w:w="0"/>
        <w:tblLook w:firstColumn="1" w:firstRow="1" w:lastColumn="0" w:lastRow="0" w:noHBand="0" w:noVBand="1" w:val="04A0"/>
      </w:tblPr>
      <w:tblGrid>
        <w:gridCol w:w="4703"/>
        <w:gridCol w:w="4703"/>
      </w:tblGrid>
      <w:tr>
        <w:tc>
          <w:tcPr>
            <w:tcW w:type="dxa" w:w="4703"/>
          </w:tcPr>
          <w:p>
            <w:r>
              <w:rPr>
                <w:b/>
              </w:rPr>
              <w:t>Parameter</w:t>
            </w:r>
          </w:p>
        </w:tc>
        <w:tc>
          <w:tcPr>
            <w:tcW w:type="dxa" w:w="4703"/>
            <w:shd w:val="clear" w:color="auto" w:fill="D6E4F0"/>
          </w:tcPr>
          <w:p>
            <w:r>
              <w:rPr>
                <w:b/>
              </w:rPr>
              <w:t>Details</w:t>
            </w:r>
          </w:p>
        </w:tc>
      </w:tr>
      <w:tr>
        <w:tc>
          <w:tcPr>
            <w:tcW w:type="dxa" w:w="4703"/>
          </w:tcPr>
          <w:p>
            <w:r>
              <w:t>Generic Name (INN)</w:t>
            </w:r>
          </w:p>
        </w:tc>
        <w:tc>
          <w:tcPr>
            <w:tcW w:type="dxa" w:w="4703"/>
          </w:tcPr>
          <w:p>
            <w:r>
              <w:t>Metronidazole 0.75% w/w Topical Gel</w:t>
            </w:r>
          </w:p>
        </w:tc>
      </w:tr>
      <w:tr>
        <w:tc>
          <w:tcPr>
            <w:tcW w:type="dxa" w:w="4703"/>
          </w:tcPr>
          <w:p>
            <w:r>
              <w:t>Brand Name (Proposed)</w:t>
            </w:r>
          </w:p>
        </w:tc>
        <w:tc>
          <w:tcPr>
            <w:tcW w:type="dxa" w:w="4703"/>
          </w:tcPr>
          <w:p>
            <w:r>
              <w:t>MetroZyd Gel</w:t>
            </w:r>
          </w:p>
        </w:tc>
      </w:tr>
      <w:tr>
        <w:tc>
          <w:tcPr>
            <w:tcW w:type="dxa" w:w="4703"/>
          </w:tcPr>
          <w:p>
            <w:r>
              <w:t>Dosage Form</w:t>
            </w:r>
          </w:p>
        </w:tc>
        <w:tc>
          <w:tcPr>
            <w:tcW w:type="dxa" w:w="4703"/>
          </w:tcPr>
          <w:p>
            <w:r>
              <w:t>Topical Gel</w:t>
            </w:r>
          </w:p>
        </w:tc>
      </w:tr>
      <w:tr>
        <w:tc>
          <w:tcPr>
            <w:tcW w:type="dxa" w:w="4703"/>
          </w:tcPr>
          <w:p>
            <w:r>
              <w:t>Strength</w:t>
            </w:r>
          </w:p>
        </w:tc>
        <w:tc>
          <w:tcPr>
            <w:tcW w:type="dxa" w:w="4703"/>
          </w:tcPr>
          <w:p>
            <w:r>
              <w:t>0.75% w/w Metronidazole</w:t>
            </w:r>
          </w:p>
        </w:tc>
      </w:tr>
      <w:tr>
        <w:tc>
          <w:tcPr>
            <w:tcW w:type="dxa" w:w="4703"/>
          </w:tcPr>
          <w:p>
            <w:r>
              <w:t>Pack Size</w:t>
            </w:r>
          </w:p>
        </w:tc>
        <w:tc>
          <w:tcPr>
            <w:tcW w:type="dxa" w:w="4703"/>
          </w:tcPr>
          <w:p>
            <w:r>
              <w:t>30g tube, 15g tube</w:t>
            </w:r>
          </w:p>
        </w:tc>
      </w:tr>
      <w:tr>
        <w:tc>
          <w:tcPr>
            <w:tcW w:type="dxa" w:w="4703"/>
          </w:tcPr>
          <w:p>
            <w:r>
              <w:t>Route of Administration</w:t>
            </w:r>
          </w:p>
        </w:tc>
        <w:tc>
          <w:tcPr>
            <w:tcW w:type="dxa" w:w="4703"/>
          </w:tcPr>
          <w:p>
            <w:r>
              <w:t>Topical — Apply to affected area twice daily</w:t>
            </w:r>
          </w:p>
        </w:tc>
      </w:tr>
      <w:tr>
        <w:tc>
          <w:tcPr>
            <w:tcW w:type="dxa" w:w="4703"/>
          </w:tcPr>
          <w:p>
            <w:r>
              <w:t>Therapeutic Category</w:t>
            </w:r>
          </w:p>
        </w:tc>
        <w:tc>
          <w:tcPr>
            <w:tcW w:type="dxa" w:w="4703"/>
          </w:tcPr>
          <w:p>
            <w:r>
              <w:t>Dermatological — Antibacterial / Antiprotozoal</w:t>
            </w:r>
          </w:p>
        </w:tc>
      </w:tr>
      <w:tr>
        <w:tc>
          <w:tcPr>
            <w:tcW w:type="dxa" w:w="4703"/>
          </w:tcPr>
          <w:p>
            <w:r>
              <w:t>ATC Code</w:t>
            </w:r>
          </w:p>
        </w:tc>
        <w:tc>
          <w:tcPr>
            <w:tcW w:type="dxa" w:w="4703"/>
          </w:tcPr>
          <w:p>
            <w:r>
              <w:t>D06BX01</w:t>
            </w:r>
          </w:p>
        </w:tc>
      </w:tr>
      <w:tr>
        <w:tc>
          <w:tcPr>
            <w:tcW w:type="dxa" w:w="4703"/>
          </w:tcPr>
          <w:p>
            <w:r>
              <w:t>Reference Listed Drug (RLD)</w:t>
            </w:r>
          </w:p>
        </w:tc>
        <w:tc>
          <w:tcPr>
            <w:tcW w:type="dxa" w:w="4703"/>
          </w:tcPr>
          <w:p>
            <w:r>
              <w:t>MetroGel 0.75% (Galderma) — US FDA approved 1988, currently marketed</w:t>
            </w:r>
          </w:p>
        </w:tc>
      </w:tr>
      <w:tr>
        <w:tc>
          <w:tcPr>
            <w:tcW w:type="dxa" w:w="4703"/>
          </w:tcPr>
          <w:p>
            <w:r>
              <w:t>Innovator Product Status</w:t>
            </w:r>
          </w:p>
        </w:tc>
        <w:tc>
          <w:tcPr>
            <w:tcW w:type="dxa" w:w="4703"/>
          </w:tcPr>
          <w:p>
            <w:r>
              <w:t>Off-patent — Metronidazole patent expired globally</w:t>
            </w:r>
          </w:p>
        </w:tc>
      </w:tr>
      <w:tr>
        <w:tc>
          <w:tcPr>
            <w:tcW w:type="dxa" w:w="4703"/>
          </w:tcPr>
          <w:p>
            <w:r>
              <w:t>Proposed Indication</w:t>
            </w:r>
          </w:p>
        </w:tc>
        <w:tc>
          <w:tcPr>
            <w:tcW w:type="dxa" w:w="4703"/>
          </w:tcPr>
          <w:p>
            <w:r>
              <w:t>Topical treatment of inflammatory lesions (papules and pustules) of rosacea</w:t>
            </w:r>
          </w:p>
        </w:tc>
      </w:tr>
      <w:tr>
        <w:tc>
          <w:tcPr>
            <w:tcW w:type="dxa" w:w="4703"/>
          </w:tcPr>
          <w:p>
            <w:r>
              <w:t>Target Population</w:t>
            </w:r>
          </w:p>
        </w:tc>
        <w:tc>
          <w:tcPr>
            <w:tcW w:type="dxa" w:w="4703"/>
          </w:tcPr>
          <w:p>
            <w:r>
              <w:t>Adults ≥ 18 years</w:t>
            </w:r>
          </w:p>
        </w:tc>
      </w:tr>
      <w:tr>
        <w:tc>
          <w:tcPr>
            <w:tcW w:type="dxa" w:w="4703"/>
          </w:tcPr>
          <w:p>
            <w:r>
              <w:t>International Approval Status</w:t>
            </w:r>
          </w:p>
        </w:tc>
        <w:tc>
          <w:tcPr>
            <w:tcW w:type="dxa" w:w="4703"/>
          </w:tcPr>
          <w:p>
            <w:r>
              <w:t>Approved: USA (1988), EU (1995), UK, Canada, Australia</w:t>
            </w:r>
          </w:p>
        </w:tc>
      </w:tr>
      <w:tr>
        <w:tc>
          <w:tcPr>
            <w:tcW w:type="dxa" w:w="4703"/>
          </w:tcPr>
          <w:p>
            <w:r>
              <w:t>Indian Approval Status</w:t>
            </w:r>
          </w:p>
        </w:tc>
        <w:tc>
          <w:tcPr>
            <w:tcW w:type="dxa" w:w="4703"/>
          </w:tcPr>
          <w:p>
            <w:r>
              <w:t>Generic — not previously approved in India as 0.75% topical gel formulation</w:t>
            </w:r>
          </w:p>
        </w:tc>
      </w:tr>
    </w:tbl>
    <w:p/>
    <w:p>
      <w:pPr>
        <w:pStyle w:val="Heading2"/>
      </w:pPr>
      <w:r>
        <w:t>Part II: Chemistry, Manufacturing &amp; Controls (CMC)</w:t>
      </w:r>
    </w:p>
    <w:p>
      <w:pPr>
        <w:pStyle w:val="Heading3"/>
      </w:pPr>
      <w:r>
        <w:t>2.1 Drug Substance (API)</w:t>
      </w:r>
    </w:p>
    <w:p>
      <w:r>
        <w:rPr>
          <w:b w:val="0"/>
          <w:i w:val="0"/>
        </w:rPr>
        <w:t>Metronidazole API sourced from Aarti Drugs Ltd., Tarapur (DMF-IN-2017-0089). Active DMF on file with CDSCO. Certificate of Analysis (CoA) attached. WHO prequalified API supplier.</w:t>
      </w:r>
    </w:p>
    <w:p>
      <w:r>
        <w:rPr>
          <w:b/>
          <w:sz w:val="20"/>
        </w:rPr>
        <w:t xml:space="preserve">Specification: </w:t>
      </w:r>
      <w:r>
        <w:rPr>
          <w:sz w:val="20"/>
        </w:rPr>
        <w:t>In-house specification ZL-API-MTZ-001 v2.0 aligned with IP 2022 monograph</w:t>
      </w:r>
    </w:p>
    <w:p>
      <w:r>
        <w:rPr>
          <w:b/>
          <w:sz w:val="20"/>
        </w:rPr>
        <w:t xml:space="preserve">Analytical Method: </w:t>
      </w:r>
      <w:r>
        <w:rPr>
          <w:sz w:val="20"/>
        </w:rPr>
        <w:t>HPLC (validated) — Method Validation Report ZL-VAL-MTZ-002 attached</w:t>
      </w:r>
    </w:p>
    <w:p>
      <w:pPr>
        <w:pStyle w:val="Heading3"/>
      </w:pPr>
      <w:r>
        <w:t>2.2 Drug Product (Formulation)</w:t>
      </w:r>
    </w:p>
    <w:p>
      <w:r>
        <w:rPr>
          <w:b w:val="0"/>
          <w:i w:val="0"/>
        </w:rPr>
        <w:t>Formulation developed at Zydus R&amp;D Centre, Ahmedabad. Pilot batches (3 × 10 kg) manufactured at manufacturing site. Batch manufacturing records for 3 pilot batches attached.</w:t>
      </w:r>
    </w:p>
    <w:p>
      <w:r>
        <w:rPr>
          <w:b/>
          <w:sz w:val="20"/>
        </w:rPr>
        <w:t xml:space="preserve">Excipients: </w:t>
      </w:r>
      <w:r>
        <w:rPr>
          <w:sz w:val="20"/>
        </w:rPr>
        <w:t>Carbopol 980, Propylene Glycol, Edetate Disodium, Methylparaben, Purified Water</w:t>
      </w:r>
    </w:p>
    <w:p>
      <w:r>
        <w:rPr>
          <w:b/>
          <w:sz w:val="20"/>
        </w:rPr>
        <w:t xml:space="preserve">Manufacturing Process: </w:t>
      </w:r>
      <w:r>
        <w:rPr>
          <w:sz w:val="20"/>
        </w:rPr>
        <w:t>Standard gel manufacturing — see SOP ZL-MFG-GEL-007 (attached)</w:t>
      </w:r>
    </w:p>
    <w:p>
      <w:pPr>
        <w:pStyle w:val="Heading3"/>
      </w:pPr>
      <w:r>
        <w:t>2.3 Stability Data</w:t>
      </w:r>
    </w:p>
    <w:p>
      <w:r>
        <w:rPr>
          <w:b w:val="0"/>
          <w:i w:val="0"/>
          <w:color w:val="A00000"/>
        </w:rPr>
        <w:t>Real-time stability: 6-month data available at 25°C/60%RH (ICH Zone II conditions). 12-month and 24-month data PENDING — study ongoing.</w:t>
      </w:r>
    </w:p>
    <w:p>
      <w:r>
        <w:rPr>
          <w:b w:val="0"/>
          <w:i w:val="0"/>
        </w:rPr>
        <w:t>Accelerated stability: 6 months at 40°C/75%RH — results attached. Assay at T6: 98.7% (spec: 97.0–103.0%). No significant degradation observed.</w:t>
      </w:r>
    </w:p>
    <w:p>
      <w:r>
        <w:rPr>
          <w:b/>
          <w:i w:val="0"/>
          <w:color w:val="A00000"/>
        </w:rPr>
        <w:t>CRITICAL GAP: Real-time stability data under Indian climatic conditions (ICH Zone IVb: 30°C/65%RH) is NOT available. Only ICH Zone II data submitted. India is a Zone IVb country — CDSCO typically requires Zone IVb stability data for topical formulations.</w:t>
      </w:r>
    </w:p>
    <w:p>
      <w:r>
        <w:rPr>
          <w:b w:val="0"/>
          <w:i w:val="0"/>
        </w:rPr>
        <w:t>Proposed shelf life: 24 months. NOTE: Insufficient stability data to support 24-month claim — only 6-month real-time data available. Extrapolation applied per ICH Q1E but Zone IVb data absent.</w:t>
      </w:r>
    </w:p>
    <w:p/>
    <w:p>
      <w:pPr>
        <w:pStyle w:val="Heading2"/>
      </w:pPr>
      <w:r>
        <w:t>Part III: Bioequivalence / Comparative Data</w:t>
      </w:r>
    </w:p>
    <w:p>
      <w:r>
        <w:rPr>
          <w:b w:val="0"/>
          <w:i/>
        </w:rPr>
        <w:t>For topical products, FDA guidance (July 2018) permits in vitro skin permeation testing (IVPT) as alternative to clinical PK studies. IVPT study conducted at Zydus Research Centre.</w:t>
      </w:r>
    </w:p>
    <w:p>
      <w:r>
        <w:rPr>
          <w:b/>
          <w:sz w:val="20"/>
        </w:rPr>
        <w:t xml:space="preserve">Study Reference: </w:t>
      </w:r>
      <w:r>
        <w:rPr>
          <w:sz w:val="20"/>
        </w:rPr>
        <w:t>ZL-BE-MTZ-IVPT-001</w:t>
      </w:r>
    </w:p>
    <w:p>
      <w:r>
        <w:rPr>
          <w:b/>
          <w:sz w:val="20"/>
        </w:rPr>
        <w:t xml:space="preserve">Test Product: </w:t>
      </w:r>
      <w:r>
        <w:rPr>
          <w:sz w:val="20"/>
        </w:rPr>
        <w:t>MetroZyd Gel 0.75% (Zydus)</w:t>
      </w:r>
    </w:p>
    <w:p>
      <w:r>
        <w:rPr>
          <w:b/>
          <w:sz w:val="20"/>
        </w:rPr>
        <w:t xml:space="preserve">Reference Product: </w:t>
      </w:r>
      <w:r>
        <w:rPr>
          <w:sz w:val="20"/>
        </w:rPr>
        <w:t>MetroGel 0.75% (Galderma) — imported from US</w:t>
      </w:r>
    </w:p>
    <w:p>
      <w:r>
        <w:rPr>
          <w:b/>
          <w:sz w:val="20"/>
        </w:rPr>
        <w:t xml:space="preserve">Method: </w:t>
      </w:r>
      <w:r>
        <w:rPr>
          <w:sz w:val="20"/>
        </w:rPr>
        <w:t>Franz diffusion cell — human cadaver skin — n=24 donors</w:t>
      </w:r>
    </w:p>
    <w:p>
      <w:r>
        <w:rPr>
          <w:b/>
          <w:sz w:val="20"/>
        </w:rPr>
        <w:t xml:space="preserve">Results: </w:t>
      </w:r>
      <w:r>
        <w:rPr>
          <w:sz w:val="20"/>
        </w:rPr>
        <w:t>Flux ratio T/R: 0.94 (90% CI: 0.84–1.02) — within 80–125% equivalence limits</w:t>
      </w:r>
    </w:p>
    <w:p>
      <w:r>
        <w:rPr>
          <w:b/>
          <w:i w:val="0"/>
          <w:color w:val="A00000"/>
        </w:rPr>
        <w:t>NOTE: IVPT acceptability for CDSCO is NOT yet confirmed. CDSCO has not published formal guidance on IVPT for topical generics as of application date. Clinical comparative trial data (small pilot study in rosacea patients) was requested at pre-submission meeting (November 2023) — this data is NOT SUBMITTED with this application.</w:t>
      </w:r>
    </w:p>
    <w:p/>
    <w:p>
      <w:pPr>
        <w:pStyle w:val="Heading2"/>
      </w:pPr>
      <w:r>
        <w:t>Part IV: Clinical Data Summary</w:t>
      </w:r>
    </w:p>
    <w:p>
      <w:r>
        <w:rPr>
          <w:b w:val="0"/>
          <w:i w:val="0"/>
        </w:rPr>
        <w:t>No new clinical trials conducted by Zydus. Literature-based justification submitted (bibliography of 14 published RCTs on metronidazole 0.75% gel in rosacea — attached as Appendix C).</w:t>
      </w:r>
    </w:p>
    <w:p>
      <w:r>
        <w:rPr>
          <w:b w:val="0"/>
          <w:i w:val="0"/>
        </w:rPr>
        <w:t>Global clinical package: Reference to FDA NDA 19-617 (Galderma) — summary of pivotal trials attached.</w:t>
      </w:r>
    </w:p>
    <w:p>
      <w:r>
        <w:rPr>
          <w:b w:val="0"/>
          <w:i w:val="0"/>
          <w:color w:val="A00000"/>
        </w:rPr>
        <w:t>Indian-specific data: NONE. No Phase III data in Indian population. Justification: Rosacea is not ethnicity-dependent based on literature review.</w:t>
      </w:r>
    </w:p>
    <w:p/>
    <w:p>
      <w:pPr>
        <w:pStyle w:val="Heading2"/>
      </w:pPr>
      <w:r>
        <w:t>Part V: Labelling</w:t>
      </w:r>
    </w:p>
    <w:p>
      <w:r>
        <w:rPr>
          <w:b w:val="0"/>
          <w:i w:val="0"/>
          <w:color w:val="A00000"/>
        </w:rPr>
        <w:t>Draft Package Insert: ATTACHED — Version 0.1 (Draft). Note: Sections 4.4 (Special Warnings), 4.8 (Adverse Effects), and Section 5 (Pharmacological Properties) are INCOMPLETE — marked as 'TBD — to be finalised post CDSCO feedback'.</w:t>
      </w:r>
    </w:p>
    <w:p>
      <w:r>
        <w:rPr>
          <w:b w:val="0"/>
          <w:i w:val="0"/>
        </w:rPr>
        <w:t>Patient Information Leaflet: NOT SUBMITTED with this application. Will be provided after label finalisation.</w:t>
      </w:r>
    </w:p>
    <w:p>
      <w:r>
        <w:rPr>
          <w:b w:val="0"/>
          <w:i w:val="0"/>
        </w:rPr>
        <w:t>Outer Carton Design: Draft attached. Hindi translation of key label elements: ABSENT.</w:t>
      </w:r>
    </w:p>
    <w:p/>
    <w:p>
      <w:pPr>
        <w:pStyle w:val="Heading2"/>
      </w:pPr>
      <w:r>
        <w:t>Part VI: Document Checklist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Document</w:t>
            </w:r>
          </w:p>
        </w:tc>
        <w:tc>
          <w:tcPr>
            <w:tcW w:type="dxa" w:w="3135"/>
          </w:tcPr>
          <w:p>
            <w:r>
              <w:rPr>
                <w:b/>
              </w:rPr>
              <w:t>Status</w:t>
            </w:r>
          </w:p>
        </w:tc>
        <w:tc>
          <w:tcPr>
            <w:tcW w:type="dxa" w:w="3135"/>
            <w:shd w:val="clear" w:color="auto" w:fill="D6E4F0"/>
          </w:tcPr>
          <w:p>
            <w:r>
              <w:rPr>
                <w:b/>
              </w:rPr>
              <w:t>Remarks</w:t>
            </w:r>
          </w:p>
        </w:tc>
      </w:tr>
      <w:tr>
        <w:tc>
          <w:tcPr>
            <w:tcW w:type="dxa" w:w="3135"/>
          </w:tcPr>
          <w:p>
            <w:r>
              <w:t>Form 44 (Application Form)</w:t>
            </w:r>
          </w:p>
        </w:tc>
        <w:tc>
          <w:tcPr>
            <w:tcW w:type="dxa" w:w="3135"/>
          </w:tcPr>
          <w:p>
            <w:r>
              <w:t>SUBMITTED</w:t>
            </w:r>
          </w:p>
        </w:tc>
        <w:tc>
          <w:tcPr>
            <w:tcW w:type="dxa" w:w="3135"/>
          </w:tcPr>
          <w:p>
            <w:r>
              <w:t>Signed by Head RA</w:t>
            </w:r>
          </w:p>
        </w:tc>
      </w:tr>
      <w:tr>
        <w:tc>
          <w:tcPr>
            <w:tcW w:type="dxa" w:w="3135"/>
          </w:tcPr>
          <w:p>
            <w:r>
              <w:t>Covering letter</w:t>
            </w:r>
          </w:p>
        </w:tc>
        <w:tc>
          <w:tcPr>
            <w:tcW w:type="dxa" w:w="3135"/>
          </w:tcPr>
          <w:p>
            <w:r>
              <w:t>SUBMITTED</w:t>
            </w:r>
          </w:p>
        </w:tc>
        <w:tc>
          <w:tcPr>
            <w:tcW w:type="dxa" w:w="3135"/>
          </w:tcPr>
          <w:p>
            <w:r/>
          </w:p>
        </w:tc>
      </w:tr>
      <w:tr>
        <w:tc>
          <w:tcPr>
            <w:tcW w:type="dxa" w:w="3135"/>
          </w:tcPr>
          <w:p>
            <w:r>
              <w:t>Drug Substance (API) DMF</w:t>
            </w:r>
          </w:p>
        </w:tc>
        <w:tc>
          <w:tcPr>
            <w:tcW w:type="dxa" w:w="3135"/>
          </w:tcPr>
          <w:p>
            <w:r>
              <w:t>SUBMITTED</w:t>
            </w:r>
          </w:p>
        </w:tc>
        <w:tc>
          <w:tcPr>
            <w:tcW w:type="dxa" w:w="3135"/>
          </w:tcPr>
          <w:p>
            <w:r>
              <w:t>DMF-IN-2017-0089, Aarti Drugs</w:t>
            </w:r>
          </w:p>
        </w:tc>
      </w:tr>
      <w:tr>
        <w:tc>
          <w:tcPr>
            <w:tcW w:type="dxa" w:w="3135"/>
          </w:tcPr>
          <w:p>
            <w:r>
              <w:t>Formulation details &amp; BMRs</w:t>
            </w:r>
          </w:p>
        </w:tc>
        <w:tc>
          <w:tcPr>
            <w:tcW w:type="dxa" w:w="3135"/>
          </w:tcPr>
          <w:p>
            <w:r>
              <w:t>SUBMITTED</w:t>
            </w:r>
          </w:p>
        </w:tc>
        <w:tc>
          <w:tcPr>
            <w:tcW w:type="dxa" w:w="3135"/>
          </w:tcPr>
          <w:p>
            <w:r>
              <w:t>3 pilot batches</w:t>
            </w:r>
          </w:p>
        </w:tc>
      </w:tr>
      <w:tr>
        <w:tc>
          <w:tcPr>
            <w:tcW w:type="dxa" w:w="3135"/>
          </w:tcPr>
          <w:p>
            <w:r>
              <w:t>Analytical method validation</w:t>
            </w:r>
          </w:p>
        </w:tc>
        <w:tc>
          <w:tcPr>
            <w:tcW w:type="dxa" w:w="3135"/>
          </w:tcPr>
          <w:p>
            <w:r>
              <w:t>SUBMITTED</w:t>
            </w:r>
          </w:p>
        </w:tc>
        <w:tc>
          <w:tcPr>
            <w:tcW w:type="dxa" w:w="3135"/>
          </w:tcPr>
          <w:p>
            <w:r>
              <w:t>HPLC method</w:t>
            </w:r>
          </w:p>
        </w:tc>
      </w:tr>
      <w:tr>
        <w:tc>
          <w:tcPr>
            <w:tcW w:type="dxa" w:w="3135"/>
          </w:tcPr>
          <w:p>
            <w:r>
              <w:t>Stability data — ICH Zone II, 6 months</w:t>
            </w:r>
          </w:p>
        </w:tc>
        <w:tc>
          <w:tcPr>
            <w:tcW w:type="dxa" w:w="3135"/>
          </w:tcPr>
          <w:p>
            <w:r>
              <w:t>SUBMITTED</w:t>
            </w:r>
          </w:p>
        </w:tc>
        <w:tc>
          <w:tcPr>
            <w:tcW w:type="dxa" w:w="3135"/>
          </w:tcPr>
          <w:p>
            <w:r>
              <w:t>Real-time and accelerated</w:t>
            </w:r>
          </w:p>
        </w:tc>
      </w:tr>
      <w:tr>
        <w:tc>
          <w:tcPr>
            <w:tcW w:type="dxa" w:w="3135"/>
          </w:tcPr>
          <w:p>
            <w:r>
              <w:t>Stability data — ICH Zone IVb (India)</w:t>
            </w:r>
          </w:p>
        </w:tc>
        <w:tc>
          <w:tcPr>
            <w:tcW w:type="dxa" w:w="3135"/>
          </w:tcPr>
          <w:p>
            <w:r>
              <w:t>NOT SUBMITTED</w:t>
            </w:r>
          </w:p>
        </w:tc>
        <w:tc>
          <w:tcPr>
            <w:tcW w:type="dxa" w:w="3135"/>
          </w:tcPr>
          <w:p>
            <w:r>
              <w:t>CRITICAL GAP — data unavailable</w:t>
            </w:r>
          </w:p>
        </w:tc>
      </w:tr>
      <w:tr>
        <w:tc>
          <w:tcPr>
            <w:tcW w:type="dxa" w:w="3135"/>
          </w:tcPr>
          <w:p>
            <w:r>
              <w:t>Stability data — 12/24 month real-time</w:t>
            </w:r>
          </w:p>
        </w:tc>
        <w:tc>
          <w:tcPr>
            <w:tcW w:type="dxa" w:w="3135"/>
          </w:tcPr>
          <w:p>
            <w:r>
              <w:t>NOT SUBMITTED</w:t>
            </w:r>
          </w:p>
        </w:tc>
        <w:tc>
          <w:tcPr>
            <w:tcW w:type="dxa" w:w="3135"/>
          </w:tcPr>
          <w:p>
            <w:r>
              <w:t>Study ongoing</w:t>
            </w:r>
          </w:p>
        </w:tc>
      </w:tr>
      <w:tr>
        <w:tc>
          <w:tcPr>
            <w:tcW w:type="dxa" w:w="3135"/>
          </w:tcPr>
          <w:p>
            <w:r>
              <w:t>Bioequivalence — IVPT study</w:t>
            </w:r>
          </w:p>
        </w:tc>
        <w:tc>
          <w:tcPr>
            <w:tcW w:type="dxa" w:w="3135"/>
          </w:tcPr>
          <w:p>
            <w:r>
              <w:t>SUBMITTED</w:t>
            </w:r>
          </w:p>
        </w:tc>
        <w:tc>
          <w:tcPr>
            <w:tcW w:type="dxa" w:w="3135"/>
          </w:tcPr>
          <w:p>
            <w:r>
              <w:t>Acceptability with CDSCO uncertain</w:t>
            </w:r>
          </w:p>
        </w:tc>
      </w:tr>
      <w:tr>
        <w:tc>
          <w:tcPr>
            <w:tcW w:type="dxa" w:w="3135"/>
          </w:tcPr>
          <w:p>
            <w:r>
              <w:t>Clinical pilot study (comparative)</w:t>
            </w:r>
          </w:p>
        </w:tc>
        <w:tc>
          <w:tcPr>
            <w:tcW w:type="dxa" w:w="3135"/>
          </w:tcPr>
          <w:p>
            <w:r>
              <w:t>NOT SUBMITTED</w:t>
            </w:r>
          </w:p>
        </w:tc>
        <w:tc>
          <w:tcPr>
            <w:tcW w:type="dxa" w:w="3135"/>
          </w:tcPr>
          <w:p>
            <w:r>
              <w:t>Requested at pre-sub meeting; not conducted</w:t>
            </w:r>
          </w:p>
        </w:tc>
      </w:tr>
      <w:tr>
        <w:tc>
          <w:tcPr>
            <w:tcW w:type="dxa" w:w="3135"/>
          </w:tcPr>
          <w:p>
            <w:r>
              <w:t>Literature-based clinical justification</w:t>
            </w:r>
          </w:p>
        </w:tc>
        <w:tc>
          <w:tcPr>
            <w:tcW w:type="dxa" w:w="3135"/>
          </w:tcPr>
          <w:p>
            <w:r>
              <w:t>SUBMITTED</w:t>
            </w:r>
          </w:p>
        </w:tc>
        <w:tc>
          <w:tcPr>
            <w:tcW w:type="dxa" w:w="3135"/>
          </w:tcPr>
          <w:p>
            <w:r>
              <w:t>14 published studies</w:t>
            </w:r>
          </w:p>
        </w:tc>
      </w:tr>
      <w:tr>
        <w:tc>
          <w:tcPr>
            <w:tcW w:type="dxa" w:w="3135"/>
          </w:tcPr>
          <w:p>
            <w:r>
              <w:t>Draft Package Insert</w:t>
            </w:r>
          </w:p>
        </w:tc>
        <w:tc>
          <w:tcPr>
            <w:tcW w:type="dxa" w:w="3135"/>
          </w:tcPr>
          <w:p>
            <w:r>
              <w:t>PARTIALLY SUBMITTED</w:t>
            </w:r>
          </w:p>
        </w:tc>
        <w:tc>
          <w:tcPr>
            <w:tcW w:type="dxa" w:w="3135"/>
          </w:tcPr>
          <w:p>
            <w:r>
              <w:t>Sections 4.4, 4.8, 5 incomplete</w:t>
            </w:r>
          </w:p>
        </w:tc>
      </w:tr>
      <w:tr>
        <w:tc>
          <w:tcPr>
            <w:tcW w:type="dxa" w:w="3135"/>
          </w:tcPr>
          <w:p>
            <w:r>
              <w:t>Patient Information Leaflet</w:t>
            </w:r>
          </w:p>
        </w:tc>
        <w:tc>
          <w:tcPr>
            <w:tcW w:type="dxa" w:w="3135"/>
          </w:tcPr>
          <w:p>
            <w:r>
              <w:t>NOT SUBMITTED</w:t>
            </w:r>
          </w:p>
        </w:tc>
        <w:tc>
          <w:tcPr>
            <w:tcW w:type="dxa" w:w="3135"/>
          </w:tcPr>
          <w:p>
            <w:r>
              <w:t>To follow after label review</w:t>
            </w:r>
          </w:p>
        </w:tc>
      </w:tr>
      <w:tr>
        <w:tc>
          <w:tcPr>
            <w:tcW w:type="dxa" w:w="3135"/>
          </w:tcPr>
          <w:p>
            <w:r>
              <w:t>Labelling — Hindi translation</w:t>
            </w:r>
          </w:p>
        </w:tc>
        <w:tc>
          <w:tcPr>
            <w:tcW w:type="dxa" w:w="3135"/>
          </w:tcPr>
          <w:p>
            <w:r>
              <w:t>NOT SUBMITTED</w:t>
            </w:r>
          </w:p>
        </w:tc>
        <w:tc>
          <w:tcPr>
            <w:tcW w:type="dxa" w:w="3135"/>
          </w:tcPr>
          <w:p>
            <w:r/>
          </w:p>
        </w:tc>
      </w:tr>
      <w:tr>
        <w:tc>
          <w:tcPr>
            <w:tcW w:type="dxa" w:w="3135"/>
          </w:tcPr>
          <w:p>
            <w:r>
              <w:t>GMP Certificate — Manufacturing Site</w:t>
            </w:r>
          </w:p>
        </w:tc>
        <w:tc>
          <w:tcPr>
            <w:tcW w:type="dxa" w:w="3135"/>
          </w:tcPr>
          <w:p>
            <w:r>
              <w:t>SUBMITTED</w:t>
            </w:r>
          </w:p>
        </w:tc>
        <w:tc>
          <w:tcPr>
            <w:tcW w:type="dxa" w:w="3135"/>
          </w:tcPr>
          <w:p>
            <w:r>
              <w:t>Valid to March 2026</w:t>
            </w:r>
          </w:p>
        </w:tc>
      </w:tr>
      <w:tr>
        <w:tc>
          <w:tcPr>
            <w:tcW w:type="dxa" w:w="3135"/>
          </w:tcPr>
          <w:p>
            <w:r>
              <w:t>CoA — API (Metronidazole)</w:t>
            </w:r>
          </w:p>
        </w:tc>
        <w:tc>
          <w:tcPr>
            <w:tcW w:type="dxa" w:w="3135"/>
          </w:tcPr>
          <w:p>
            <w:r>
              <w:t>SUBMITTED</w:t>
            </w:r>
          </w:p>
        </w:tc>
        <w:tc>
          <w:tcPr>
            <w:tcW w:type="dxa" w:w="3135"/>
          </w:tcPr>
          <w:p>
            <w:r>
              <w:t>WHO prequalified supplier</w:t>
            </w:r>
          </w:p>
        </w:tc>
      </w:tr>
      <w:tr>
        <w:tc>
          <w:tcPr>
            <w:tcW w:type="dxa" w:w="3135"/>
          </w:tcPr>
          <w:p>
            <w:r>
              <w:t>Free Sale Certificate — USA</w:t>
            </w:r>
          </w:p>
        </w:tc>
        <w:tc>
          <w:tcPr>
            <w:tcW w:type="dxa" w:w="3135"/>
          </w:tcPr>
          <w:p>
            <w:r>
              <w:t>SUBMITTED</w:t>
            </w:r>
          </w:p>
        </w:tc>
        <w:tc>
          <w:tcPr>
            <w:tcW w:type="dxa" w:w="3135"/>
          </w:tcPr>
          <w:p>
            <w:r>
              <w:t>FDA approval NDA 19-617 (reference product)</w:t>
            </w:r>
          </w:p>
        </w:tc>
      </w:tr>
      <w:tr>
        <w:tc>
          <w:tcPr>
            <w:tcW w:type="dxa" w:w="3135"/>
          </w:tcPr>
          <w:p>
            <w:r>
              <w:t>Risk Management Plan</w:t>
            </w:r>
          </w:p>
        </w:tc>
        <w:tc>
          <w:tcPr>
            <w:tcW w:type="dxa" w:w="3135"/>
          </w:tcPr>
          <w:p>
            <w:r>
              <w:t>NOT SUBMITTED</w:t>
            </w:r>
          </w:p>
        </w:tc>
        <w:tc>
          <w:tcPr>
            <w:tcW w:type="dxa" w:w="3135"/>
          </w:tcPr>
          <w:p>
            <w:r>
              <w:t>Applicant position: Not required for generic topical</w:t>
            </w:r>
          </w:p>
        </w:tc>
      </w:tr>
      <w:tr>
        <w:tc>
          <w:tcPr>
            <w:tcW w:type="dxa" w:w="3135"/>
          </w:tcPr>
          <w:p>
            <w:r>
              <w:t>Manufacturing site inspection status</w:t>
            </w:r>
          </w:p>
        </w:tc>
        <w:tc>
          <w:tcPr>
            <w:tcW w:type="dxa" w:w="3135"/>
          </w:tcPr>
          <w:p>
            <w:r>
              <w:t>SUBMITTED</w:t>
            </w:r>
          </w:p>
        </w:tc>
        <w:tc>
          <w:tcPr>
            <w:tcW w:type="dxa" w:w="3135"/>
          </w:tcPr>
          <w:p>
            <w:r>
              <w:t>Last inspected November 2022 — CDSCO clearance letter attached</w:t>
            </w:r>
          </w:p>
        </w:tc>
      </w:tr>
      <w:tr>
        <w:tc>
          <w:tcPr>
            <w:tcW w:type="dxa" w:w="3135"/>
          </w:tcPr>
          <w:p>
            <w:r>
              <w:t>Authorisation letter / Power of Attorney</w:t>
            </w:r>
          </w:p>
        </w:tc>
        <w:tc>
          <w:tcPr>
            <w:tcW w:type="dxa" w:w="3135"/>
          </w:tcPr>
          <w:p>
            <w:r>
              <w:t>SUBMITTED</w:t>
            </w:r>
          </w:p>
        </w:tc>
        <w:tc>
          <w:tcPr>
            <w:tcW w:type="dxa" w:w="3135"/>
          </w:tcPr>
          <w:p>
            <w:r/>
          </w:p>
        </w:tc>
      </w:tr>
    </w:tbl>
    <w:p/>
    <w:p>
      <w:pPr>
        <w:pBdr>
          <w:bottom w:val="single" w:sz="6" w:space="1" w:color="999999"/>
        </w:pBdr>
      </w:pPr>
    </w:p>
    <w:p>
      <w:r>
        <w:rPr>
          <w:b/>
          <w:i w:val="0"/>
        </w:rPr>
        <w:t>Declaration: All information provided is true and correct to the best of our knowledge.</w:t>
      </w:r>
    </w:p>
    <w:p>
      <w:r>
        <w:rPr>
          <w:b w:val="0"/>
          <w:i/>
          <w:sz w:val="18"/>
        </w:rPr>
        <w:t>Signature: Dr. Dharav Shah, Head Regulatory Affairs, Zydus Lifesciences | Date: 20 March 2024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