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D7A"/>
        </w:rPr>
        <w:t>CLINICAL STUDY PROTOCOL — VERSION 1.0</w:t>
      </w:r>
    </w:p>
    <w:p>
      <w:r>
        <w:rPr>
          <w:b/>
          <w:sz w:val="20"/>
        </w:rPr>
        <w:t xml:space="preserve">Protocol No.: </w:t>
      </w:r>
      <w:r>
        <w:rPr>
          <w:sz w:val="20"/>
        </w:rPr>
        <w:t>ONC-PEM-2023-01</w:t>
      </w:r>
    </w:p>
    <w:p>
      <w:r>
        <w:rPr>
          <w:b/>
          <w:sz w:val="20"/>
        </w:rPr>
        <w:t xml:space="preserve">Version: </w:t>
      </w:r>
      <w:r>
        <w:rPr>
          <w:sz w:val="20"/>
        </w:rPr>
        <w:t>1.0</w:t>
      </w:r>
    </w:p>
    <w:p>
      <w:r>
        <w:rPr>
          <w:b/>
          <w:sz w:val="20"/>
        </w:rPr>
        <w:t xml:space="preserve">Date: </w:t>
      </w:r>
      <w:r>
        <w:rPr>
          <w:sz w:val="20"/>
        </w:rPr>
        <w:t>05 December 2023</w:t>
      </w:r>
    </w:p>
    <w:p>
      <w:r>
        <w:rPr>
          <w:b/>
          <w:sz w:val="20"/>
        </w:rPr>
        <w:t xml:space="preserve">Drug: </w:t>
      </w:r>
      <w:r>
        <w:rPr>
          <w:sz w:val="20"/>
        </w:rPr>
        <w:t>Pembrolizumab (Keytruda) + Pemetrexed + Carboplatin</w:t>
      </w:r>
    </w:p>
    <w:p>
      <w:r>
        <w:rPr>
          <w:b/>
          <w:sz w:val="20"/>
        </w:rPr>
        <w:t xml:space="preserve">Indication: </w:t>
      </w:r>
      <w:r>
        <w:rPr>
          <w:sz w:val="20"/>
        </w:rPr>
        <w:t>First-line treatment of metastatic non-squamous NSCLC</w:t>
      </w:r>
    </w:p>
    <w:p>
      <w:r>
        <w:rPr>
          <w:b/>
          <w:sz w:val="20"/>
        </w:rPr>
        <w:t xml:space="preserve">Sponsor: </w:t>
      </w:r>
      <w:r>
        <w:rPr>
          <w:sz w:val="20"/>
        </w:rPr>
        <w:t>MSD Pharmaceuticals India Pvt. Ltd., Gurugram</w:t>
      </w:r>
    </w:p>
    <w:p>
      <w:r>
        <w:rPr>
          <w:b/>
          <w:sz w:val="20"/>
        </w:rPr>
        <w:t xml:space="preserve">Phase: </w:t>
      </w:r>
      <w:r>
        <w:rPr>
          <w:sz w:val="20"/>
        </w:rPr>
        <w:t>Phase III (Bridging Study — Indian Population)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Objectives</w:t>
      </w:r>
    </w:p>
    <w:p>
      <w:pPr>
        <w:pStyle w:val="Heading3"/>
      </w:pPr>
      <w:r>
        <w:t>1.1 Primary Objective</w:t>
      </w:r>
    </w:p>
    <w:p>
      <w:r>
        <w:rPr>
          <w:b w:val="0"/>
          <w:i w:val="0"/>
        </w:rPr>
        <w:t>To evaluate the overall survival (OS) benefit of pembrolizumab plus chemotherapy (pemetrexed + carboplatin) versus chemotherapy alone in treatment-naive patients with metastatic non-squamous NSCLC without EGFR/ALK alterations, in an Indian population cohort.</w:t>
      </w:r>
    </w:p>
    <w:p>
      <w:pPr>
        <w:pStyle w:val="Heading3"/>
      </w:pPr>
      <w:r>
        <w:t>1.2 Secondary Objectives</w:t>
      </w:r>
    </w:p>
    <w:p>
      <w:pPr>
        <w:pStyle w:val="ListBullet"/>
      </w:pPr>
      <w:r>
        <w:t>Objective response rate (ORR) per RECIST 1.1</w:t>
      </w:r>
    </w:p>
    <w:p>
      <w:pPr>
        <w:pStyle w:val="ListBullet"/>
      </w:pPr>
      <w:r>
        <w:t>Duration of response (DoR)</w:t>
      </w:r>
    </w:p>
    <w:p>
      <w:pPr>
        <w:pStyle w:val="ListBullet"/>
      </w:pPr>
      <w:r>
        <w:t>Safety and tolerability — AE/SAE profile</w:t>
      </w:r>
    </w:p>
    <w:p>
      <w:pPr>
        <w:pStyle w:val="ListBullet"/>
      </w:pPr>
      <w:r>
        <w:t>Patient-reported outcomes (PROs) using EORTC QLQ-C30</w:t>
      </w:r>
    </w:p>
    <w:p>
      <w:pPr>
        <w:pStyle w:val="Heading2"/>
      </w:pPr>
      <w:r>
        <w:t>2. Study Design</w:t>
      </w:r>
    </w:p>
    <w:p>
      <w:r>
        <w:rPr>
          <w:b/>
          <w:sz w:val="20"/>
        </w:rPr>
        <w:t xml:space="preserve">Design: </w:t>
      </w:r>
      <w:r>
        <w:rPr>
          <w:sz w:val="20"/>
        </w:rPr>
        <w:t>Randomised, Open-label, Active-controlled, Parallel-group, Multicentre</w:t>
      </w:r>
    </w:p>
    <w:p>
      <w:r>
        <w:rPr>
          <w:b/>
          <w:sz w:val="20"/>
        </w:rPr>
        <w:t xml:space="preserve">Arms: </w:t>
      </w:r>
      <w:r>
        <w:rPr>
          <w:sz w:val="20"/>
        </w:rPr>
        <w:t>Arm A: Pembrolizumab 200mg IV Q3W + Pemetrexed 500mg/m² + Carboplatin AUC5 Q3W × 4 cycles, then Pembro + Pemetrexed maintenance</w:t>
      </w:r>
    </w:p>
    <w:p>
      <w:r>
        <w:rPr>
          <w:b/>
          <w:sz w:val="20"/>
        </w:rPr>
        <w:t xml:space="preserve">: </w:t>
      </w:r>
      <w:r>
        <w:rPr>
          <w:sz w:val="20"/>
        </w:rPr>
        <w:t>Arm B: Pemetrexed 500mg/m² + Carboplatin AUC5 Q3W × 4 cycles, then Pemetrexed maintenance</w:t>
      </w:r>
    </w:p>
    <w:p>
      <w:r>
        <w:rPr>
          <w:b/>
          <w:sz w:val="20"/>
        </w:rPr>
        <w:t xml:space="preserve">Treatment Duration: </w:t>
      </w:r>
      <w:r>
        <w:rPr>
          <w:sz w:val="20"/>
        </w:rPr>
        <w:t>Until progression, unacceptable toxicity, or 24 cycles (pembrolizumab) — approximately 18 months</w:t>
      </w:r>
    </w:p>
    <w:p>
      <w:r>
        <w:rPr>
          <w:b/>
          <w:sz w:val="20"/>
        </w:rPr>
        <w:t xml:space="preserve">Randomisation: </w:t>
      </w:r>
      <w:r>
        <w:rPr>
          <w:sz w:val="20"/>
        </w:rPr>
        <w:t>1:1, stratified by ECOG PS (0 vs 1) and smoking status (never vs former/current)</w:t>
      </w:r>
    </w:p>
    <w:p>
      <w:pPr>
        <w:pStyle w:val="Heading2"/>
      </w:pPr>
      <w:r>
        <w:t>3. Study Population</w:t>
      </w:r>
    </w:p>
    <w:p>
      <w:pPr>
        <w:pStyle w:val="Heading3"/>
      </w:pPr>
      <w:r>
        <w:t>3.1 Inclusion Criteria</w:t>
      </w:r>
    </w:p>
    <w:p>
      <w:pPr>
        <w:pStyle w:val="ListBullet"/>
      </w:pPr>
      <w:r>
        <w:t>Age ≥ 18 years</w:t>
      </w:r>
    </w:p>
    <w:p>
      <w:pPr>
        <w:pStyle w:val="ListBullet"/>
      </w:pPr>
      <w:r>
        <w:t>Histologically confirmed metastatic non-squamous NSCLC (Stage IV)</w:t>
      </w:r>
    </w:p>
    <w:p>
      <w:pPr>
        <w:pStyle w:val="ListBullet"/>
      </w:pPr>
      <w:r>
        <w:t>No prior systemic therapy for metastatic disease</w:t>
      </w:r>
    </w:p>
    <w:p>
      <w:pPr>
        <w:pStyle w:val="ListBullet"/>
      </w:pPr>
      <w:r>
        <w:t>EGFR wild-type and ALK-negative (local testing)</w:t>
      </w:r>
    </w:p>
    <w:p>
      <w:pPr>
        <w:pStyle w:val="ListBullet"/>
      </w:pPr>
      <w:r>
        <w:t>PD-L1 TPS ≥ 1% (local or central testing)</w:t>
      </w:r>
    </w:p>
    <w:p>
      <w:pPr>
        <w:pStyle w:val="ListBullet"/>
      </w:pPr>
      <w:r>
        <w:t>ECOG Performance Status 0 or 1</w:t>
      </w:r>
    </w:p>
    <w:p>
      <w:pPr>
        <w:pStyle w:val="ListBullet"/>
      </w:pPr>
      <w:r>
        <w:t>Adequate organ function (haematologic, hepatic, renal, pulmonary)</w:t>
      </w:r>
    </w:p>
    <w:p>
      <w:pPr>
        <w:pStyle w:val="ListBullet"/>
      </w:pPr>
      <w:r>
        <w:t>No active autoimmune disease requiring systemic treatment</w:t>
      </w:r>
    </w:p>
    <w:p>
      <w:pPr>
        <w:pStyle w:val="Heading3"/>
      </w:pPr>
      <w:r>
        <w:t>3.2 Exclusion Criteria</w:t>
      </w:r>
    </w:p>
    <w:p>
      <w:pPr>
        <w:pStyle w:val="ListBullet"/>
      </w:pPr>
      <w:r>
        <w:t>Squamous histology or mixed histology with predominant squamous component</w:t>
      </w:r>
    </w:p>
    <w:p>
      <w:pPr>
        <w:pStyle w:val="ListBullet"/>
      </w:pPr>
      <w:r>
        <w:t>EGFR sensitising mutation (exon 19 del or L858R) or ALK rearrangement</w:t>
      </w:r>
    </w:p>
    <w:p>
      <w:pPr>
        <w:pStyle w:val="ListBullet"/>
      </w:pPr>
      <w:r>
        <w:t>Prior treatment with anti-PD-1, anti-PD-L1, or anti-CTLA-4 antibody</w:t>
      </w:r>
    </w:p>
    <w:p>
      <w:pPr>
        <w:pStyle w:val="ListBullet"/>
      </w:pPr>
      <w:r>
        <w:t>Active brain metastases (untreated or symptomatic)</w:t>
      </w:r>
    </w:p>
    <w:p>
      <w:pPr>
        <w:pStyle w:val="ListBullet"/>
      </w:pPr>
      <w:r>
        <w:t>Interstitial lung disease or active pneumonitis</w:t>
      </w:r>
    </w:p>
    <w:p>
      <w:pPr>
        <w:pStyle w:val="ListBullet"/>
      </w:pPr>
      <w:r>
        <w:t>Active TB or HBV/HCV infection</w:t>
      </w:r>
    </w:p>
    <w:p>
      <w:pPr>
        <w:pStyle w:val="Heading2"/>
      </w:pPr>
      <w:r>
        <w:t>4. Sample Size &amp; Statistical Analysis</w:t>
      </w:r>
    </w:p>
    <w:p>
      <w:r>
        <w:rPr>
          <w:b w:val="0"/>
          <w:i w:val="0"/>
        </w:rPr>
        <w:t>Sample Size: 200 patients (100 per arm). Based on median OS 16 months (Pembro+Chemo) vs 11 months (Chemo), HR 0.60, 80% power, two-sided α 0.05, 10% dropout. Requires 120 events. Interim analysis: One at 60 events (50%) by IDMC.</w:t>
      </w:r>
    </w:p>
    <w:p>
      <w:r>
        <w:rPr>
          <w:b w:val="0"/>
          <w:i w:val="0"/>
        </w:rPr>
        <w:t>Primary analysis: Stratified log-rank test. Kaplan-Meier estimates and Cox proportional hazards model. Interim analysis will use O'Brien-Fleming boundary.</w:t>
      </w:r>
    </w:p>
    <w:p>
      <w:pPr>
        <w:pStyle w:val="Heading2"/>
      </w:pPr>
      <w:r>
        <w:t>5. Safety Monitoring &amp; Reporting</w:t>
      </w:r>
    </w:p>
    <w:p>
      <w:r>
        <w:rPr>
          <w:b w:val="0"/>
          <w:i w:val="0"/>
        </w:rPr>
        <w:t>SAEs must be reported to Sponsor within 24 hours of awareness. SUSAR reporting to CDSCO within 7 days (fatal/life-threatening) or 15 days (non-fatal). IDMC will review unblinded safety data at each interim analysis.</w:t>
      </w:r>
    </w:p>
    <w:p>
      <w:pPr>
        <w:pStyle w:val="Heading2"/>
      </w:pPr>
      <w:r>
        <w:t>6. 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Site No.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Principal Investigator</w:t>
            </w:r>
          </w:p>
        </w:tc>
      </w:tr>
      <w:tr>
        <w:tc>
          <w:tcPr>
            <w:tcW w:type="dxa" w:w="3135"/>
          </w:tcPr>
          <w:p>
            <w:r>
              <w:t>IN-001</w:t>
            </w:r>
          </w:p>
        </w:tc>
        <w:tc>
          <w:tcPr>
            <w:tcW w:type="dxa" w:w="3135"/>
          </w:tcPr>
          <w:p>
            <w:r>
              <w:t>Tata Memorial Hospital, Mumbai</w:t>
            </w:r>
          </w:p>
        </w:tc>
        <w:tc>
          <w:tcPr>
            <w:tcW w:type="dxa" w:w="3135"/>
          </w:tcPr>
          <w:p>
            <w:r>
              <w:t>Dr. Kumar Prabhash</w:t>
            </w:r>
          </w:p>
        </w:tc>
      </w:tr>
      <w:tr>
        <w:tc>
          <w:tcPr>
            <w:tcW w:type="dxa" w:w="3135"/>
          </w:tcPr>
          <w:p>
            <w:r>
              <w:t>IN-002</w:t>
            </w:r>
          </w:p>
        </w:tc>
        <w:tc>
          <w:tcPr>
            <w:tcW w:type="dxa" w:w="3135"/>
          </w:tcPr>
          <w:p>
            <w:r>
              <w:t>AIIMS New Delhi</w:t>
            </w:r>
          </w:p>
        </w:tc>
        <w:tc>
          <w:tcPr>
            <w:tcW w:type="dxa" w:w="3135"/>
          </w:tcPr>
          <w:p>
            <w:r>
              <w:t>Dr. Noopur Raje</w:t>
            </w:r>
          </w:p>
        </w:tc>
      </w:tr>
      <w:tr>
        <w:tc>
          <w:tcPr>
            <w:tcW w:type="dxa" w:w="3135"/>
          </w:tcPr>
          <w:p>
            <w:r>
              <w:t>IN-003</w:t>
            </w:r>
          </w:p>
        </w:tc>
        <w:tc>
          <w:tcPr>
            <w:tcW w:type="dxa" w:w="3135"/>
          </w:tcPr>
          <w:p>
            <w:r>
              <w:t>Kidwai Memorial Institute, Bengaluru</w:t>
            </w:r>
          </w:p>
        </w:tc>
        <w:tc>
          <w:tcPr>
            <w:tcW w:type="dxa" w:w="3135"/>
          </w:tcPr>
          <w:p>
            <w:r>
              <w:t>Dr. Lokanatha D.</w:t>
            </w:r>
          </w:p>
        </w:tc>
      </w:tr>
      <w:tr>
        <w:tc>
          <w:tcPr>
            <w:tcW w:type="dxa" w:w="3135"/>
          </w:tcPr>
          <w:p>
            <w:r>
              <w:t>IN-004</w:t>
            </w:r>
          </w:p>
        </w:tc>
        <w:tc>
          <w:tcPr>
            <w:tcW w:type="dxa" w:w="3135"/>
          </w:tcPr>
          <w:p>
            <w:r>
              <w:t>Cancer Institute WIA, Chennai</w:t>
            </w:r>
          </w:p>
        </w:tc>
        <w:tc>
          <w:tcPr>
            <w:tcW w:type="dxa" w:w="3135"/>
          </w:tcPr>
          <w:p>
            <w:r>
              <w:t>Dr. Vijayalakshmi</w:t>
            </w:r>
          </w:p>
        </w:tc>
      </w:tr>
    </w:tbl>
    <w:p/>
    <w:p>
      <w:pPr>
        <w:pBdr>
          <w:bottom w:val="single" w:sz="6" w:space="1" w:color="999999"/>
        </w:pBdr>
      </w:pPr>
    </w:p>
    <w:p>
      <w:r>
        <w:rPr>
          <w:b w:val="0"/>
          <w:i/>
          <w:sz w:val="18"/>
        </w:rPr>
        <w:t>Approved by: Dr. Amit Chandra, Global Medical Officer, MSD India | Date: 05 December 2023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