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D7A"/>
        </w:rPr>
        <w:t>CLINICAL STUDY PROTOCOL — VERSION 2.0</w:t>
      </w:r>
    </w:p>
    <w:p>
      <w:r>
        <w:rPr>
          <w:b/>
          <w:sz w:val="20"/>
        </w:rPr>
        <w:t xml:space="preserve">Protocol No.: </w:t>
      </w:r>
      <w:r>
        <w:rPr>
          <w:sz w:val="20"/>
        </w:rPr>
        <w:t>ONC-PEM-2023-01</w:t>
      </w:r>
    </w:p>
    <w:p>
      <w:r>
        <w:rPr>
          <w:b/>
          <w:sz w:val="20"/>
        </w:rPr>
        <w:t xml:space="preserve">Version: </w:t>
      </w:r>
      <w:r>
        <w:rPr>
          <w:sz w:val="20"/>
        </w:rPr>
        <w:t>2.0</w:t>
      </w:r>
    </w:p>
    <w:p>
      <w:r>
        <w:rPr>
          <w:b/>
          <w:sz w:val="20"/>
        </w:rPr>
        <w:t xml:space="preserve">Date: </w:t>
      </w:r>
      <w:r>
        <w:rPr>
          <w:sz w:val="20"/>
        </w:rPr>
        <w:t>28 February 2024</w:t>
      </w:r>
    </w:p>
    <w:p>
      <w:r>
        <w:rPr>
          <w:b/>
          <w:sz w:val="20"/>
        </w:rPr>
        <w:t xml:space="preserve">Drug: </w:t>
      </w:r>
      <w:r>
        <w:rPr>
          <w:sz w:val="20"/>
        </w:rPr>
        <w:t>Pembrolizumab (Keytruda) + Pemetrexed + Carboplatin</w:t>
      </w:r>
    </w:p>
    <w:p>
      <w:r>
        <w:rPr>
          <w:b/>
          <w:sz w:val="20"/>
        </w:rPr>
        <w:t xml:space="preserve">Indication: </w:t>
      </w:r>
      <w:r>
        <w:rPr>
          <w:sz w:val="20"/>
        </w:rPr>
        <w:t>First-line treatment of metastatic non-squamous NSCLC</w:t>
      </w:r>
    </w:p>
    <w:p>
      <w:r>
        <w:rPr>
          <w:b/>
          <w:sz w:val="20"/>
        </w:rPr>
        <w:t xml:space="preserve">Sponsor: </w:t>
      </w:r>
      <w:r>
        <w:rPr>
          <w:sz w:val="20"/>
        </w:rPr>
        <w:t>MSD Pharmaceuticals India Pvt. Ltd., Gurugram</w:t>
      </w:r>
    </w:p>
    <w:p>
      <w:r>
        <w:rPr>
          <w:b/>
          <w:sz w:val="20"/>
        </w:rPr>
        <w:t xml:space="preserve">Phase: </w:t>
      </w:r>
      <w:r>
        <w:rPr>
          <w:sz w:val="20"/>
        </w:rPr>
        <w:t>Phase III (Bridging Study — Indian Population)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Objectives</w:t>
      </w:r>
    </w:p>
    <w:p>
      <w:pPr>
        <w:pStyle w:val="Heading3"/>
      </w:pPr>
      <w:r>
        <w:t>1.1 Primary Objective</w:t>
      </w:r>
    </w:p>
    <w:p>
      <w:r>
        <w:rPr>
          <w:b w:val="0"/>
          <w:i w:val="0"/>
        </w:rPr>
        <w:t>To evaluate the overall survival (OS) and progression-free survival (PFS) benefit of pembrolizumab plus chemotherapy (pemetrexed + carboplatin) versus chemotherapy alone in treatment-naive patients with metastatic non-squamous NSCLC without EGFR/ALK alterations, regardless of PD-L1 expression, in an Indian population cohort.</w:t>
      </w:r>
    </w:p>
    <w:p>
      <w:r>
        <w:rPr>
          <w:b w:val="0"/>
          <w:i/>
          <w:color w:val="8B0000"/>
        </w:rPr>
        <w:t>[AMENDMENT v2.0: PFS added as co-primary endpoint per CDSCO recommendation. PD-L1 expression removed as stratification factor — now all-comers regardless of PD-L1 TPS.]</w:t>
      </w:r>
    </w:p>
    <w:p>
      <w:pPr>
        <w:pStyle w:val="Heading3"/>
      </w:pPr>
      <w:r>
        <w:t>1.2 Secondary Objectives</w:t>
      </w:r>
    </w:p>
    <w:p>
      <w:pPr>
        <w:pStyle w:val="ListBullet"/>
      </w:pPr>
      <w:r>
        <w:t>Objective response rate (ORR) per RECIST 1.1</w:t>
      </w:r>
    </w:p>
    <w:p>
      <w:pPr>
        <w:pStyle w:val="ListBullet"/>
      </w:pPr>
      <w:r>
        <w:t>Duration of response (DoR)</w:t>
      </w:r>
    </w:p>
    <w:p>
      <w:pPr>
        <w:pStyle w:val="ListBullet"/>
      </w:pPr>
      <w:r>
        <w:t>Disease control rate (DCR) [NEW in v2.0]</w:t>
      </w:r>
    </w:p>
    <w:p>
      <w:pPr>
        <w:pStyle w:val="ListBullet"/>
      </w:pPr>
      <w:r>
        <w:t>Safety and tolerability — AE/SAE profile, including immune-mediated AEs</w:t>
      </w:r>
    </w:p>
    <w:p>
      <w:pPr>
        <w:pStyle w:val="ListBullet"/>
      </w:pPr>
      <w:r>
        <w:t>Patient-reported outcomes (PROs) using EORTC QLQ-C30 and LC13 module [LC13 added in v2.0]</w:t>
      </w:r>
    </w:p>
    <w:p>
      <w:pPr>
        <w:pStyle w:val="ListBullet"/>
      </w:pPr>
      <w:r>
        <w:t>Biomarker analysis — tumour mutational burden (TMB) and PD-L1 expression as exploratory endpoints [NEW in v2.0 — moved from primary to exploratory]</w:t>
      </w:r>
    </w:p>
    <w:p>
      <w:pPr>
        <w:pStyle w:val="Heading2"/>
      </w:pPr>
      <w:r>
        <w:t>2. Study Design</w:t>
      </w:r>
    </w:p>
    <w:p>
      <w:r>
        <w:rPr>
          <w:b/>
          <w:sz w:val="20"/>
        </w:rPr>
        <w:t xml:space="preserve">Design: </w:t>
      </w:r>
      <w:r>
        <w:rPr>
          <w:sz w:val="20"/>
        </w:rPr>
        <w:t>Randomised, Open-label, Active-controlled, Parallel-group, Multicentre</w:t>
      </w:r>
    </w:p>
    <w:p>
      <w:r>
        <w:rPr>
          <w:b/>
          <w:sz w:val="20"/>
        </w:rPr>
        <w:t xml:space="preserve">Arms: </w:t>
      </w:r>
      <w:r>
        <w:rPr>
          <w:sz w:val="20"/>
        </w:rPr>
        <w:t>Arm A: Pembrolizumab 200mg IV Q3W + Pemetrexed 500mg/m² + Carboplatin AUC5 Q3W × 4 cycles, then Pembro + Pemetrexed maintenance</w:t>
      </w:r>
    </w:p>
    <w:p>
      <w:r>
        <w:rPr>
          <w:b/>
          <w:sz w:val="20"/>
        </w:rPr>
        <w:t xml:space="preserve">: </w:t>
      </w:r>
      <w:r>
        <w:rPr>
          <w:sz w:val="20"/>
        </w:rPr>
        <w:t>Arm B: Pemetrexed 500mg/m² + Carboplatin AUC5 Q3W × 4 cycles, then Pemetrexed maintenance</w:t>
      </w:r>
    </w:p>
    <w:p>
      <w:r>
        <w:rPr>
          <w:b/>
          <w:sz w:val="20"/>
        </w:rPr>
        <w:t xml:space="preserve">Treatment Duration: </w:t>
      </w:r>
      <w:r>
        <w:rPr>
          <w:sz w:val="20"/>
        </w:rPr>
        <w:t>Until progression, unacceptable toxicity, or 35 cycles (pembrolizumab) — maximum 2 years [AMENDED from 24 cycles in v1.0]</w:t>
      </w:r>
    </w:p>
    <w:p>
      <w:r>
        <w:rPr>
          <w:b/>
          <w:sz w:val="20"/>
        </w:rPr>
        <w:t xml:space="preserve">Randomisation: </w:t>
      </w:r>
      <w:r>
        <w:rPr>
          <w:sz w:val="20"/>
        </w:rPr>
        <w:t>1:1, stratified by ECOG PS (0 vs 1) and smoking status (never vs former/current)</w:t>
      </w:r>
    </w:p>
    <w:p>
      <w:r>
        <w:rPr>
          <w:b w:val="0"/>
          <w:i/>
          <w:color w:val="8B0000"/>
        </w:rPr>
        <w:t>[AMENDMENT v2.0: Stratification factor changed — PD-L1 TPS stratum (high/low/negative) REMOVED. Now stratified by ECOG PS and smoking only. Rationale: Enrolment restricted to PD-L1 high in v1.0 was causing unacceptably slow recruitment.]</w:t>
      </w:r>
    </w:p>
    <w:p>
      <w:pPr>
        <w:pStyle w:val="Heading2"/>
      </w:pPr>
      <w:r>
        <w:t>3. Study Population</w:t>
      </w:r>
    </w:p>
    <w:p>
      <w:pPr>
        <w:pStyle w:val="Heading3"/>
      </w:pPr>
      <w:r>
        <w:t>3.1 Inclusion Criteria</w:t>
      </w:r>
    </w:p>
    <w:p>
      <w:pPr>
        <w:pStyle w:val="ListBullet"/>
      </w:pPr>
      <w:r>
        <w:t>Age ≥ 18 years</w:t>
      </w:r>
    </w:p>
    <w:p>
      <w:pPr>
        <w:pStyle w:val="ListBullet"/>
      </w:pPr>
      <w:r>
        <w:t>Histologically confirmed metastatic non-squamous NSCLC (Stage IV)</w:t>
      </w:r>
    </w:p>
    <w:p>
      <w:pPr>
        <w:pStyle w:val="ListBullet"/>
      </w:pPr>
      <w:r>
        <w:t>No prior systemic therapy for metastatic disease</w:t>
      </w:r>
    </w:p>
    <w:p>
      <w:pPr>
        <w:pStyle w:val="ListBullet"/>
      </w:pPr>
      <w:r>
        <w:t>EGFR wild-type and ALK-negative (local testing); ROS1 and MET exon 14 must also be negative [AMENDED — ROS1 and MET testing added v2.0]</w:t>
      </w:r>
    </w:p>
    <w:p>
      <w:pPr>
        <w:pStyle w:val="ListBullet"/>
      </w:pPr>
      <w:r>
        <w:t>PD-L1 expression: Any level acceptable (PD-L1 testing no longer required for eligibility) [MAJOR AMENDMENT v2.0 — all-comers design]</w:t>
      </w:r>
    </w:p>
    <w:p>
      <w:pPr>
        <w:pStyle w:val="ListBullet"/>
      </w:pPr>
      <w:r>
        <w:t>ECOG Performance Status 0 or 1</w:t>
      </w:r>
    </w:p>
    <w:p>
      <w:pPr>
        <w:pStyle w:val="ListBullet"/>
      </w:pPr>
      <w:r>
        <w:t>Adequate organ function (haematologic, hepatic, renal, pulmonary)</w:t>
      </w:r>
    </w:p>
    <w:p>
      <w:pPr>
        <w:pStyle w:val="ListBullet"/>
      </w:pPr>
      <w:r>
        <w:t>No active autoimmune disease requiring systemic treatment within past 2 years [AMENDED — added '2 years' qualifier]</w:t>
      </w:r>
    </w:p>
    <w:p>
      <w:pPr>
        <w:pStyle w:val="ListBullet"/>
      </w:pPr>
      <w:r>
        <w:t>Creatinine clearance ≥ 45 mL/min (for pemetrexed dosing safety) [NEW criterion v2.0]</w:t>
      </w:r>
    </w:p>
    <w:p>
      <w:pPr>
        <w:pStyle w:val="Heading3"/>
      </w:pPr>
      <w:r>
        <w:t>3.2 Exclusion Criteria</w:t>
      </w:r>
    </w:p>
    <w:p>
      <w:pPr>
        <w:pStyle w:val="ListBullet"/>
      </w:pPr>
      <w:r>
        <w:t>Squamous histology or mixed histology with predominant squamous component</w:t>
      </w:r>
    </w:p>
    <w:p>
      <w:pPr>
        <w:pStyle w:val="ListBullet"/>
      </w:pPr>
      <w:r>
        <w:t>EGFR sensitising mutation (exon 19 del or L858R), ALK rearrangement, ROS1 fusion, or MET exon 14 skipping [AMENDED]</w:t>
      </w:r>
    </w:p>
    <w:p>
      <w:pPr>
        <w:pStyle w:val="ListBullet"/>
      </w:pPr>
      <w:r>
        <w:t>Prior treatment with anti-PD-1, anti-PD-L1, or anti-CTLA-4 antibody</w:t>
      </w:r>
    </w:p>
    <w:p>
      <w:pPr>
        <w:pStyle w:val="ListBullet"/>
      </w:pPr>
      <w:r>
        <w:t>Untreated or symptomatic brain metastases — treated, stable brain mets now allowed [AMENDED — previously all brain mets excluded]</w:t>
      </w:r>
    </w:p>
    <w:p>
      <w:pPr>
        <w:pStyle w:val="ListBullet"/>
      </w:pPr>
      <w:r>
        <w:t>Interstitial lung disease or active pneumonitis</w:t>
      </w:r>
    </w:p>
    <w:p>
      <w:pPr>
        <w:pStyle w:val="ListBullet"/>
      </w:pPr>
      <w:r>
        <w:t>Active TB or HBV/HCV infection — latent TB allowed if prophylaxis initiated [AMENDED — latent TB exclusion relaxed given Indian TB burden]</w:t>
      </w:r>
    </w:p>
    <w:p>
      <w:pPr>
        <w:pStyle w:val="ListBullet"/>
      </w:pPr>
      <w:r>
        <w:t>Chronic systemic corticosteroids &gt; 10mg/day prednisone equivalent [NEW exclusion v2.0]</w:t>
      </w:r>
    </w:p>
    <w:p>
      <w:pPr>
        <w:pStyle w:val="Heading2"/>
      </w:pPr>
      <w:r>
        <w:t>4. Sample Size &amp; Statistical Analysis</w:t>
      </w:r>
    </w:p>
    <w:p>
      <w:r>
        <w:rPr>
          <w:b w:val="0"/>
          <w:i w:val="0"/>
        </w:rPr>
        <w:t>[AMENDED v2.0]: Sample Size INCREASED to 300 patients (150 per arm). Rationale: (1) All-comers design (no PD-L1 filter) reduces expected treatment effect — revised HR 0.72. (2) Co-primary PFS endpoint requires additional events. Requires 180 OS events and 200 PFS events. 85% power. Dropout increased to 15% (recruitment from more diverse centres).</w:t>
      </w:r>
    </w:p>
    <w:p>
      <w:r>
        <w:rPr>
          <w:b w:val="0"/>
          <w:i w:val="0"/>
        </w:rPr>
        <w:t>Interim analyses: TWO planned — at 40% and 70% events [increased from one interim in v1.0]. IDMC constituted — Dr. Ashok Datta (AIIMS, Statistics), Dr. Neha Krishnan (Oncology), independent statistician (Biostatistics Consulting Group, Pune).</w:t>
      </w:r>
    </w:p>
    <w:p>
      <w:r>
        <w:rPr>
          <w:b w:val="0"/>
          <w:i w:val="0"/>
        </w:rPr>
        <w:t>Multiple testing strategy: Hierarchical — OS tested first; PFS tested only if OS significant at α 0.025. Prevents inflation of type I error.</w:t>
      </w:r>
    </w:p>
    <w:p>
      <w:pPr>
        <w:pStyle w:val="Heading2"/>
      </w:pPr>
      <w:r>
        <w:t>5. Safety Monitoring &amp; Reporting</w:t>
      </w:r>
    </w:p>
    <w:p>
      <w:r>
        <w:rPr>
          <w:b w:val="0"/>
          <w:i w:val="0"/>
        </w:rPr>
        <w:t>SAEs must be reported to Sponsor within 24 hours of awareness. SUSAR reporting to CDSCO within 7 days (fatal/life-threatening) or 15 days (non-fatal). IDMC will review unblinded safety data at each interim analysis.</w:t>
      </w:r>
    </w:p>
    <w:p>
      <w:r>
        <w:rPr>
          <w:b w:val="0"/>
          <w:i w:val="0"/>
        </w:rPr>
        <w:t>[AMENDMENT v2.0]: Enhanced immune-mediated AE monitoring protocol added — Grade 1 immune AEs must now be reported to site PI within 24 hrs; previously only Grade 2+ required reporting. New immune AE management algorithm (Appendix H) added. This was driven by hepatotoxicity cluster observation from another study site in Q4 2023.</w:t>
      </w:r>
    </w:p>
    <w:p>
      <w:pPr>
        <w:pStyle w:val="Heading2"/>
      </w:pPr>
      <w:r>
        <w:t>6. 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Site No.</w:t>
            </w:r>
          </w:p>
        </w:tc>
        <w:tc>
          <w:tcPr>
            <w:tcW w:type="dxa" w:w="3135"/>
          </w:tcPr>
          <w:p>
            <w:r>
              <w:rPr>
                <w:b/>
              </w:rPr>
              <w:t>Institution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Principal Investigator</w:t>
            </w:r>
          </w:p>
        </w:tc>
      </w:tr>
      <w:tr>
        <w:tc>
          <w:tcPr>
            <w:tcW w:type="dxa" w:w="3135"/>
          </w:tcPr>
          <w:p>
            <w:r>
              <w:t>IN-001</w:t>
            </w:r>
          </w:p>
        </w:tc>
        <w:tc>
          <w:tcPr>
            <w:tcW w:type="dxa" w:w="3135"/>
          </w:tcPr>
          <w:p>
            <w:r>
              <w:t>Tata Memorial Hospital, Mumbai</w:t>
            </w:r>
          </w:p>
        </w:tc>
        <w:tc>
          <w:tcPr>
            <w:tcW w:type="dxa" w:w="3135"/>
          </w:tcPr>
          <w:p>
            <w:r>
              <w:t>Dr. Kumar Prabhash</w:t>
            </w:r>
          </w:p>
        </w:tc>
      </w:tr>
      <w:tr>
        <w:tc>
          <w:tcPr>
            <w:tcW w:type="dxa" w:w="3135"/>
          </w:tcPr>
          <w:p>
            <w:r>
              <w:t>IN-002</w:t>
            </w:r>
          </w:p>
        </w:tc>
        <w:tc>
          <w:tcPr>
            <w:tcW w:type="dxa" w:w="3135"/>
          </w:tcPr>
          <w:p>
            <w:r>
              <w:t>AIIMS New Delhi</w:t>
            </w:r>
          </w:p>
        </w:tc>
        <w:tc>
          <w:tcPr>
            <w:tcW w:type="dxa" w:w="3135"/>
          </w:tcPr>
          <w:p>
            <w:r>
              <w:t>Dr. Noopur Raje</w:t>
            </w:r>
          </w:p>
        </w:tc>
      </w:tr>
      <w:tr>
        <w:tc>
          <w:tcPr>
            <w:tcW w:type="dxa" w:w="3135"/>
          </w:tcPr>
          <w:p>
            <w:r>
              <w:t>IN-003</w:t>
            </w:r>
          </w:p>
        </w:tc>
        <w:tc>
          <w:tcPr>
            <w:tcW w:type="dxa" w:w="3135"/>
          </w:tcPr>
          <w:p>
            <w:r>
              <w:t>Kidwai Memorial Institute, Bengaluru</w:t>
            </w:r>
          </w:p>
        </w:tc>
        <w:tc>
          <w:tcPr>
            <w:tcW w:type="dxa" w:w="3135"/>
          </w:tcPr>
          <w:p>
            <w:r>
              <w:t>Dr. Lokanatha D.</w:t>
            </w:r>
          </w:p>
        </w:tc>
      </w:tr>
      <w:tr>
        <w:tc>
          <w:tcPr>
            <w:tcW w:type="dxa" w:w="3135"/>
          </w:tcPr>
          <w:p>
            <w:r>
              <w:t>IN-004</w:t>
            </w:r>
          </w:p>
        </w:tc>
        <w:tc>
          <w:tcPr>
            <w:tcW w:type="dxa" w:w="3135"/>
          </w:tcPr>
          <w:p>
            <w:r>
              <w:t>Cancer Institute WIA, Chennai</w:t>
            </w:r>
          </w:p>
        </w:tc>
        <w:tc>
          <w:tcPr>
            <w:tcW w:type="dxa" w:w="3135"/>
          </w:tcPr>
          <w:p>
            <w:r>
              <w:t>Dr. Vijayalakshmi</w:t>
            </w:r>
          </w:p>
        </w:tc>
      </w:tr>
      <w:tr>
        <w:tc>
          <w:tcPr>
            <w:tcW w:type="dxa" w:w="3135"/>
          </w:tcPr>
          <w:p>
            <w:r>
              <w:t>IN-005</w:t>
            </w:r>
          </w:p>
        </w:tc>
        <w:tc>
          <w:tcPr>
            <w:tcW w:type="dxa" w:w="3135"/>
          </w:tcPr>
          <w:p>
            <w:r>
              <w:t>HCG Oncology, Ahmedabad</w:t>
            </w:r>
          </w:p>
        </w:tc>
        <w:tc>
          <w:tcPr>
            <w:tcW w:type="dxa" w:w="3135"/>
          </w:tcPr>
          <w:p>
            <w:r>
              <w:t>Dr. Chirag Desai [NEW SITE v2.0]</w:t>
            </w:r>
          </w:p>
        </w:tc>
      </w:tr>
      <w:tr>
        <w:tc>
          <w:tcPr>
            <w:tcW w:type="dxa" w:w="3135"/>
          </w:tcPr>
          <w:p>
            <w:r>
              <w:t>IN-006</w:t>
            </w:r>
          </w:p>
        </w:tc>
        <w:tc>
          <w:tcPr>
            <w:tcW w:type="dxa" w:w="3135"/>
          </w:tcPr>
          <w:p>
            <w:r>
              <w:t>Apollo Cancer Centre, Hyderabad</w:t>
            </w:r>
          </w:p>
        </w:tc>
        <w:tc>
          <w:tcPr>
            <w:tcW w:type="dxa" w:w="3135"/>
          </w:tcPr>
          <w:p>
            <w:r>
              <w:t>Dr. Srikanth [NEW SITE v2.0]</w:t>
            </w:r>
          </w:p>
        </w:tc>
      </w:tr>
    </w:tbl>
    <w:p/>
    <w:p>
      <w:pPr>
        <w:pBdr>
          <w:bottom w:val="single" w:sz="6" w:space="1" w:color="999999"/>
        </w:pBdr>
      </w:pPr>
    </w:p>
    <w:p>
      <w:r>
        <w:rPr>
          <w:b/>
          <w:i w:val="0"/>
          <w:color w:val="8B0000"/>
        </w:rPr>
        <w:t>AMENDMENT SUMMARY (v1.0 → v2.0): Co-primary endpoint added (PFS); PD-L1 restriction removed; sample size increased 200→300; treatment duration extended 24→35 cycles; ROS1/MET testing added to eligibility; brain met exclusion relaxed; latent TB exclusion relaxed; 2 new sites added; enhanced immune AE monitoring protocol added.</w:t>
      </w:r>
    </w:p>
    <w:p>
      <w:r>
        <w:rPr>
          <w:b w:val="0"/>
          <w:i/>
          <w:sz w:val="18"/>
        </w:rPr>
        <w:t>Approved by: Dr. Amit Chandra, Global Medical Officer, MSD India | Date: 28 February 2024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