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502800"/>
        </w:rPr>
        <w:t>GCP SITE INSPECTION — WORKING NOTES</w:t>
      </w:r>
    </w:p>
    <w:p>
      <w:r>
        <w:rPr>
          <w:b/>
          <w:i w:val="0"/>
          <w:color w:val="A00000"/>
        </w:rPr>
        <w:t>FOR INTERNAL USE ONLY — DRAFT NOTES, NOT FOR DISTRIBUTION</w:t>
      </w:r>
    </w:p>
    <w:p>
      <w:pPr>
        <w:pBdr>
          <w:bottom w:val="single" w:sz="6" w:space="1" w:color="999999"/>
        </w:pBdr>
      </w:pPr>
    </w:p>
    <w:p>
      <w:r>
        <w:rPr>
          <w:b/>
          <w:sz w:val="20"/>
        </w:rPr>
        <w:t xml:space="preserve">Inspection Type: </w:t>
      </w:r>
      <w:r>
        <w:rPr>
          <w:sz w:val="20"/>
        </w:rPr>
        <w:t>Announced GCP Site Inspection</w:t>
      </w:r>
    </w:p>
    <w:p>
      <w:r>
        <w:rPr>
          <w:b/>
          <w:sz w:val="20"/>
        </w:rPr>
        <w:t xml:space="preserve">Study: </w:t>
      </w:r>
      <w:r>
        <w:rPr>
          <w:sz w:val="20"/>
        </w:rPr>
        <w:t>BGX-RA-2022-01 (Phase III RA Biosimilar Study — Tocilizumab)</w:t>
      </w:r>
    </w:p>
    <w:p>
      <w:r>
        <w:rPr>
          <w:b/>
          <w:sz w:val="20"/>
        </w:rPr>
        <w:t xml:space="preserve">Site Inspected: </w:t>
      </w:r>
      <w:r>
        <w:rPr>
          <w:sz w:val="20"/>
        </w:rPr>
        <w:t>St. John's Medical College &amp; Hospital, Bengaluru — Site IN-003</w:t>
      </w:r>
    </w:p>
    <w:p>
      <w:r>
        <w:rPr>
          <w:b/>
          <w:sz w:val="20"/>
        </w:rPr>
        <w:t xml:space="preserve">Site Contact: </w:t>
      </w:r>
      <w:r>
        <w:rPr>
          <w:sz w:val="20"/>
        </w:rPr>
        <w:t>Dr. Latha Krishnamurthy, PI | Site Coordinator: Ms. Sunitha V. | 080-22065000</w:t>
      </w:r>
    </w:p>
    <w:p>
      <w:r>
        <w:rPr>
          <w:b/>
          <w:sz w:val="20"/>
        </w:rPr>
        <w:t xml:space="preserve">Inspection Dates: </w:t>
      </w:r>
      <w:r>
        <w:rPr>
          <w:sz w:val="20"/>
        </w:rPr>
        <w:t>02–03 April 2024</w:t>
      </w:r>
    </w:p>
    <w:p>
      <w:r>
        <w:rPr>
          <w:b/>
          <w:sz w:val="20"/>
        </w:rPr>
        <w:t xml:space="preserve">Lead Inspector: </w:t>
      </w:r>
      <w:r>
        <w:rPr>
          <w:sz w:val="20"/>
        </w:rPr>
        <w:t>Dr. Meena Iyer, Deputy Drugs Controller, CDSCO South Zone</w:t>
      </w:r>
    </w:p>
    <w:p>
      <w:r>
        <w:rPr>
          <w:b/>
          <w:sz w:val="20"/>
        </w:rPr>
        <w:t xml:space="preserve">Co-Inspector: </w:t>
      </w:r>
      <w:r>
        <w:rPr>
          <w:sz w:val="20"/>
        </w:rPr>
        <w:t>Mr. Prakash Rao, Technical Officer, CDSCO</w:t>
      </w:r>
    </w:p>
    <w:p>
      <w:r>
        <w:rPr>
          <w:b/>
          <w:sz w:val="20"/>
        </w:rPr>
        <w:t xml:space="preserve">Sponsor Representative: </w:t>
      </w:r>
      <w:r>
        <w:rPr>
          <w:sz w:val="20"/>
        </w:rPr>
        <w:t>Dr. Sunita Narayanan, CRA, BioGenix Therapeutics (observer)</w:t>
      </w:r>
    </w:p>
    <w:p/>
    <w:p>
      <w:pPr>
        <w:pStyle w:val="Heading2"/>
      </w:pPr>
      <w:r>
        <w:t>Day 1 Observations (02 April 2024)</w:t>
      </w:r>
    </w:p>
    <w:p>
      <w:pPr>
        <w:pStyle w:val="Heading3"/>
      </w:pPr>
      <w:r>
        <w:t>Informed Consent Process</w:t>
      </w:r>
    </w:p>
    <w:p>
      <w:r>
        <w:rPr>
          <w:b w:val="0"/>
          <w:i w:val="0"/>
          <w:color w:val="A00000"/>
        </w:rPr>
        <w:t>OBS-ICF-01: Reviewed consent forms for all 22 enrolled subjects. Subject IN003-0019 (the subject who had the SAE in March 2024) — consent form reviewed. Date of consent: 14 Jan 2024. Consent was signed by subject. BUT — the witness signature field is blank. SOP requires independent witness for all oncology/serious disease studies. This was the case later involved in the CRS SAE.</w:t>
      </w:r>
    </w:p>
    <w:p>
      <w:r>
        <w:rPr>
          <w:b w:val="0"/>
          <w:i w:val="0"/>
        </w:rPr>
        <w:t>OBS-ICF-02: Subject IN003-0007 — consent form dated 22 November 2023. Corresponding study entry visit (Visit 1/Screening) date in CRF: 19 November 2023. Consent AFTER screening visit — informed consent obtained retrospectively, which is a GCP violation. Subject may have undergone screening procedures without consent.</w:t>
      </w:r>
    </w:p>
    <w:p>
      <w:r>
        <w:rPr>
          <w:b w:val="0"/>
          <w:i w:val="0"/>
          <w:color w:val="A00000"/>
        </w:rPr>
        <w:t>OBS-ICF-03: ICF version used for subjects enrolled Nov 2023–Jan 2024 was v1.2 dated August 2023. HOWEVER, sponsor issued updated ICF v1.3 in October 2023 following a safety update (enhanced CRS warning). Site continued using v1.2 for 3 subjects enrolled after October 2023. These subjects never re-consented on updated form. Sponsor's communication to site (email dated 15 October 2023) requesting ICF update was acknowledged by coordinator but not actioned.</w:t>
      </w:r>
    </w:p>
    <w:p>
      <w:pPr>
        <w:pStyle w:val="Heading3"/>
      </w:pPr>
      <w:r>
        <w:t>Case Report Forms (CRFs) and Source Data</w:t>
      </w:r>
    </w:p>
    <w:p>
      <w:r>
        <w:rPr>
          <w:b w:val="0"/>
          <w:i w:val="0"/>
        </w:rPr>
        <w:t>OBS-CRF-01: Electronic CRF system (Medidata Rave) audit trail reviewed. For subject IN003-0012, visit 4 (Week 12) data was entered on 25 February 2024. Visit date per CRF: 05 February 2024. 20-day delay in entry — exceeds 5-day entry window specified in DMP. CRF query raised by sponsor on 10 February 2024 (15 days earlier) — not responded to.</w:t>
      </w:r>
    </w:p>
    <w:p>
      <w:r>
        <w:rPr>
          <w:b w:val="0"/>
          <w:i w:val="0"/>
        </w:rPr>
        <w:t>OBS-CRF-02: Discrepancy noted — source document (hospital case notes) for subject IN003-0017 records BP at Visit 3 as 148/92 mmHg. CRF entry for same visit shows 124/78 mmHg. When queried, coordinator stated 'I may have entered wrong subject's data'. No correction note made. This data was already used in a scheduled interim safety analysis submitted to sponsor in January 2024.</w:t>
      </w:r>
    </w:p>
    <w:p>
      <w:r>
        <w:rPr>
          <w:b w:val="0"/>
          <w:i w:val="0"/>
        </w:rPr>
        <w:t>OBS-CRF-03: Laboratory results for infusion reaction workup of subject IN003-0019 (SAE case): original lab reports are printed email attachments — printouts faded, some values illegible. IL-6 levels — recorded in narrative as 'not done (lab not available)' but site lab has IL-6 capability per lab capability list. Clarification sought — coordinator unable to explain discrepancy during inspection.</w:t>
      </w:r>
    </w:p>
    <w:p>
      <w:pPr>
        <w:pStyle w:val="Heading3"/>
      </w:pPr>
      <w:r>
        <w:t>Drug Accountability</w:t>
      </w:r>
    </w:p>
    <w:p>
      <w:r>
        <w:rPr>
          <w:b w:val="0"/>
          <w:i w:val="0"/>
        </w:rPr>
        <w:t>OBS-DRUG-01: Investigational product (BGX-TCZ-01) stored in pharmacy cold room (2–8°C). Log reviewed — temperature within range throughout study period. Reconciliation done — 22 subjects × doses dispensed matches pharmacy record. OK.</w:t>
      </w:r>
    </w:p>
    <w:p>
      <w:r>
        <w:rPr>
          <w:b w:val="0"/>
          <w:i w:val="0"/>
        </w:rPr>
        <w:t>OBS-DRUG-02: Destroyed drug documentation — 3 vials returned as partially used (following dose interruption for 3 subjects). Return-to-sponsor form completed but Destruction Certificate from central depot not available at site. Site expects to receive within 30 days.</w:t>
      </w:r>
    </w:p>
    <w:p>
      <w:r>
        <w:rPr>
          <w:b w:val="0"/>
          <w:i w:val="0"/>
        </w:rPr>
        <w:t>OBS-DRUG-03: Emergency unblinding procedure — sealed code-break envelopes present. One envelope (Subject IN003-0019 — the SAE patient) has been opened and resealed with tape. Coordinator states code was broken during SAE management on 01 March 2024. However, unblinding documentation (Unblinding Record Form) was NOT completed. Only a handwritten note exists: 'code broken 1/3 emergency, Latha' — no timestamp, no formal record.</w:t>
      </w:r>
    </w:p>
    <w:p/>
    <w:p>
      <w:pPr>
        <w:pStyle w:val="Heading2"/>
      </w:pPr>
      <w:r>
        <w:t>Day 2 Observations (03 April 2024)</w:t>
      </w:r>
    </w:p>
    <w:p>
      <w:pPr>
        <w:pStyle w:val="Heading3"/>
      </w:pPr>
      <w:r>
        <w:t>Protocol Deviations</w:t>
      </w:r>
    </w:p>
    <w:p>
      <w:r>
        <w:rPr>
          <w:b w:val="0"/>
          <w:i w:val="0"/>
        </w:rPr>
        <w:t>OBS-DEV-01: Protocol requires TB screening (Mantoux or IGRA) before first infusion. Reviewed all 22 subjects. Subject IN003-0009 — IGRA test done but result: 'Indeterminate'. Protocol and eligibility criteria state 'Negative IGRA required'. Subject was enrolled and received 6 infusions. This is a significant eligibility deviation — subject should not have been enrolled. Sponsor's medical monitor apparently knew (email from Dec 2023 in file) but no formal protocol deviation report submitted to CDSCO.</w:t>
      </w:r>
    </w:p>
    <w:p>
      <w:r>
        <w:rPr>
          <w:b w:val="0"/>
          <w:i w:val="0"/>
        </w:rPr>
        <w:t>OBS-DEV-02: 4 subjects missed their Week 6 infusion (Visit 3) by more than the allowed window (±3 days). Protocol requires dose window management. These are listed as 'protocol deviations' in site deviation log. All 4 were reported to sponsor, but none were reported to the EC as required by St. John's EC SOP for deviations affecting subject safety.</w:t>
      </w:r>
    </w:p>
    <w:p>
      <w:r>
        <w:rPr>
          <w:b w:val="0"/>
          <w:i w:val="0"/>
        </w:rPr>
        <w:t>OBS-DEV-03: Subject IN003-0022 — enrolled 20 March 2024. Lab results at screening show: ALT 78 U/L, AST 61 U/L. Protocol exclusion criterion: 'ALT or AST &gt; 2.5× ULN' (ULN = 40 U/L). Subject's ALT is 1.95× ULN — within limit. However, Creatinine Clearance at screening: 43 mL/min (protocol minimum: 45 mL/min). This is a clear eligibility violation — subject did not meet minimum CrCl requirement. Enrolled despite this.</w:t>
      </w:r>
    </w:p>
    <w:p>
      <w:pPr>
        <w:pStyle w:val="Heading3"/>
      </w:pPr>
      <w:r>
        <w:t>Ethics Committee (EC) Compliance</w:t>
      </w:r>
    </w:p>
    <w:p>
      <w:r>
        <w:rPr>
          <w:b w:val="0"/>
          <w:i w:val="0"/>
        </w:rPr>
        <w:t>OBS-EC-01: Study approved by St. John's IEC — approval dated 15 September 2022. Annual renewal required. Renewal for 2024 (due September 2023): Certificate NOT available at site. Coordinator states application submitted but renewal not yet received — 7 months overdue. 9 subjects enrolled during period without valid EC renewal (October 2023 to present).</w:t>
      </w:r>
    </w:p>
    <w:p>
      <w:r>
        <w:rPr>
          <w:b w:val="0"/>
          <w:i w:val="0"/>
        </w:rPr>
        <w:t>OBS-EC-02: SAE SAE-2024-KA-0178 (subject IN003-0019, CRS event March 2024) — EC notification of SAE was done on 15 March 2024 (14 days after event). St. John's EC SOP requires notification within 7 days. Delayed.</w:t>
      </w:r>
    </w:p>
    <w:p>
      <w:r>
        <w:rPr>
          <w:b w:val="0"/>
          <w:i w:val="0"/>
        </w:rPr>
        <w:t>OBS-EC-03: Protocol amendment v2.0 (February 2024) — includes major changes (sample size, eligibility). Amendment submitted to EC: 01 March 2024. EC approval PENDING as of inspection date (02 April 2024). However, 2 new subjects were enrolled under v2.0 eligibility criteria on 15 March and 22 March 2024 BEFORE EC approval of the amendment. This is a GCP violation.</w:t>
      </w:r>
    </w:p>
    <w:p>
      <w:pPr>
        <w:pStyle w:val="Heading3"/>
      </w:pPr>
      <w:r>
        <w:t>Site Staff &amp; Training</w:t>
      </w:r>
    </w:p>
    <w:p>
      <w:r>
        <w:rPr>
          <w:b w:val="0"/>
          <w:i w:val="0"/>
        </w:rPr>
        <w:t>OBS-TRN-01: GCP training records reviewed. PI (Dr. Krishnamurthy) — GCP certificate valid (2023). Co-Investigator Dr. Priya Menon — GCP certificate expired January 2024. No renewed certificate on file. Dr. Menon has been involved in Visit 3 and Visit 4 assessments for 6 subjects.</w:t>
      </w:r>
    </w:p>
    <w:p>
      <w:r>
        <w:rPr>
          <w:b w:val="0"/>
          <w:i w:val="0"/>
        </w:rPr>
        <w:t>OBS-TRN-02: Protocol training sign-off for v2.0 — only 3 of 7 site staff have signed the training log for the amended protocol. Coordinator (Ms. Sunitha V.) — not signed. Sub-investigator Dr. Anjali Rao — not signed. Lab technician Ms. Preethi — not signed. Study procedures under v2.0 have been carried out by all staff regardless.</w:t>
      </w:r>
    </w:p>
    <w:p/>
    <w:p>
      <w:pPr>
        <w:pStyle w:val="Heading2"/>
      </w:pPr>
      <w:r>
        <w:t>Inspector's Preliminary Classification of Findings</w:t>
      </w:r>
    </w:p>
    <w:p>
      <w:r>
        <w:rPr>
          <w:b w:val="0"/>
          <w:i/>
        </w:rPr>
        <w:t>NOTE: This is a preliminary categorisation. Final classification subject to headquarters review.</w:t>
      </w:r>
    </w:p>
    <w:p>
      <w:r>
        <w:rPr>
          <w:b/>
          <w:i w:val="0"/>
          <w:color w:val="A00000"/>
        </w:rPr>
        <w:t>CRITICAL FINDINGS (require immediate CAPA + potential impact on data integrity / subject safety):</w:t>
      </w:r>
    </w:p>
    <w:p>
      <w:pPr>
        <w:pStyle w:val="ListBullet"/>
      </w:pPr>
      <w:r>
        <w:t>OBS-ICF-03: Subjects enrolled after safety update without re-consent on updated ICF</w:t>
      </w:r>
    </w:p>
    <w:p>
      <w:pPr>
        <w:pStyle w:val="ListBullet"/>
      </w:pPr>
      <w:r>
        <w:t>OBS-ICF-02: Retrospective consent — screening performed before consent signed</w:t>
      </w:r>
    </w:p>
    <w:p>
      <w:pPr>
        <w:pStyle w:val="ListBullet"/>
      </w:pPr>
      <w:r>
        <w:t>OBS-DEV-01: Ineligible subject (IGRA indeterminate) enrolled — sponsor aware but no formal deviation filed</w:t>
      </w:r>
    </w:p>
    <w:p>
      <w:pPr>
        <w:pStyle w:val="ListBullet"/>
      </w:pPr>
      <w:r>
        <w:t>OBS-DEV-03: Eligibility violation — CrCl below minimum threshold</w:t>
      </w:r>
    </w:p>
    <w:p>
      <w:pPr>
        <w:pStyle w:val="ListBullet"/>
      </w:pPr>
      <w:r>
        <w:t>OBS-EC-03: Subjects enrolled under unapproved protocol amendment</w:t>
      </w:r>
    </w:p>
    <w:p>
      <w:pPr>
        <w:pStyle w:val="ListBullet"/>
      </w:pPr>
      <w:r>
        <w:t>OBS-EC-01: 9 subjects enrolled during period of lapsed EC approval</w:t>
      </w:r>
    </w:p>
    <w:p>
      <w:r>
        <w:rPr>
          <w:b/>
          <w:i w:val="0"/>
          <w:color w:val="C86400"/>
        </w:rPr>
        <w:br/>
        <w:t>MAJOR FINDINGS:</w:t>
      </w:r>
    </w:p>
    <w:p>
      <w:pPr>
        <w:pStyle w:val="ListBullet"/>
      </w:pPr>
      <w:r>
        <w:t>OBS-CRF-02: Source data vs CRF discrepancy — may affect data integrity of interim safety analysis</w:t>
      </w:r>
    </w:p>
    <w:p>
      <w:pPr>
        <w:pStyle w:val="ListBullet"/>
      </w:pPr>
      <w:r>
        <w:t>OBS-DRUG-03: Unblinding without formal documentation</w:t>
      </w:r>
    </w:p>
    <w:p>
      <w:pPr>
        <w:pStyle w:val="ListBullet"/>
      </w:pPr>
      <w:r>
        <w:t>OBS-EC-02: Late SAE notification to EC</w:t>
      </w:r>
    </w:p>
    <w:p>
      <w:pPr>
        <w:pStyle w:val="ListBullet"/>
      </w:pPr>
      <w:r>
        <w:t>OBS-TRN-01: Expired GCP certificate — sub-investigator conducting study procedures</w:t>
      </w:r>
    </w:p>
    <w:p>
      <w:r>
        <w:rPr>
          <w:b/>
          <w:i w:val="0"/>
          <w:color w:val="646400"/>
        </w:rPr>
        <w:br/>
        <w:t>MINOR FINDINGS:</w:t>
      </w:r>
    </w:p>
    <w:p>
      <w:pPr>
        <w:pStyle w:val="ListBullet"/>
      </w:pPr>
      <w:r>
        <w:t>OBS-ICF-01: Missing witness signature (subject IN003-0019)</w:t>
      </w:r>
    </w:p>
    <w:p>
      <w:pPr>
        <w:pStyle w:val="ListBullet"/>
      </w:pPr>
      <w:r>
        <w:t>OBS-CRF-01: CRF data entry delays</w:t>
      </w:r>
    </w:p>
    <w:p>
      <w:pPr>
        <w:pStyle w:val="ListBullet"/>
      </w:pPr>
      <w:r>
        <w:t>OBS-DRUG-02: Destruction certificate pending</w:t>
      </w:r>
    </w:p>
    <w:p>
      <w:pPr>
        <w:pStyle w:val="ListBullet"/>
      </w:pPr>
      <w:r>
        <w:t>OBS-TRN-02: Protocol training sign-off incomplete for v2.0</w:t>
      </w:r>
    </w:p>
    <w:p/>
    <w:p>
      <w:pPr>
        <w:pBdr>
          <w:bottom w:val="single" w:sz="6" w:space="1" w:color="999999"/>
        </w:pBdr>
      </w:pPr>
    </w:p>
    <w:p>
      <w:r>
        <w:rPr>
          <w:b/>
          <w:i w:val="0"/>
        </w:rPr>
        <w:t>Site response requested within 15 working days of formal report issuance. Data from this site will be flagged for sponsor review pending CAPA closure.</w:t>
      </w:r>
    </w:p>
    <w:p>
      <w:r>
        <w:rPr>
          <w:b w:val="0"/>
          <w:i/>
          <w:sz w:val="18"/>
        </w:rPr>
        <w:t>Inspector: Dr. Meena Iyer | Date: 03 April 2024 | [Signature block — to be added to final report]</w:t>
      </w:r>
    </w:p>
    <w:p>
      <w:r>
        <w:rPr>
          <w:b w:val="0"/>
          <w:i/>
          <w:sz w:val="18"/>
        </w:rPr>
        <w:t>Co-Inspector: Mr. Prakash Rao | Date: 03 April 2024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