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3D7A"/>
        </w:rPr>
        <w:t>CDSCO — TECHNICAL EXPERT COMMITTEE (VACCINES &amp; BIOLOGICALS)</w:t>
      </w:r>
    </w:p>
    <w:p>
      <w:r>
        <w:rPr>
          <w:b/>
          <w:i w:val="0"/>
        </w:rPr>
        <w:t>Subject Expert Committee Meeting — Biosimilars | 23rd Session | DRAFT MINUTES</w:t>
      </w:r>
    </w:p>
    <w:p>
      <w:r>
        <w:rPr>
          <w:b w:val="0"/>
          <w:i/>
        </w:rPr>
        <w:t>Date: 18 March 2024 | Venue: Conference Hall B, CDSCO HQ, FDA Bhavan, Kotla Road, New Delhi</w:t>
      </w:r>
    </w:p>
    <w:p>
      <w:r>
        <w:rPr>
          <w:b/>
          <w:i w:val="0"/>
          <w:color w:val="A00000"/>
        </w:rPr>
        <w:t>STATUS: DRAFT — Not ratified. Pending corrections from members. Do not cite.</w:t>
      </w:r>
    </w:p>
    <w:p>
      <w:pPr>
        <w:pBdr>
          <w:bottom w:val="single" w:sz="6" w:space="1" w:color="999999"/>
        </w:pBdr>
      </w:pPr>
    </w:p>
    <w:p>
      <w:r>
        <w:rPr>
          <w:b w:val="0"/>
          <w:i w:val="0"/>
        </w:rPr>
        <w:t>The meeting was called to order at 10:20 AM (20 minutes behind schedule due to quorum issues — Dr. Sharma arrived late). Chair welcomed members and noted that Dr. Mathur (Pune) was joining via video call and Dr. Rajan could not attend as he is on leave following hospitalisation (get well soon wishes recorded).</w:t>
      </w:r>
    </w:p>
    <w:p>
      <w:pPr>
        <w:pStyle w:val="Heading2"/>
      </w:pPr>
      <w:r>
        <w:t>Attendees</w:t>
      </w:r>
    </w:p>
    <w:p>
      <w:r>
        <w:rPr>
          <w:b w:val="0"/>
          <w:i w:val="0"/>
        </w:rPr>
        <w:t>Present in person: Dr. R.K. Anand (Chair — Additional Drugs Controller), Dr. S. Krishnaswamy (Pharmacologist, JIPMER), Ms. Priya Mehta (CDSCO Deputy Controller — Biologicals), Dr. Y. Sharma (Immunologist, ICMR), Dr. Nalini Ghosh (Clinician — SSKM Kolkata), Mr. Tarun Bose (Legal Adviser, MoHFW)</w:t>
      </w:r>
    </w:p>
    <w:p>
      <w:r>
        <w:rPr>
          <w:b w:val="0"/>
          <w:i w:val="0"/>
        </w:rPr>
        <w:t>Video call: Dr. Arvind Mathur (PGI Chandigarh, Endocrinology), Dr. (Ms.) Sunita Agarwal (Biostatistics, AIIMS Delhi)</w:t>
      </w:r>
    </w:p>
    <w:p>
      <w:r>
        <w:rPr>
          <w:b w:val="0"/>
          <w:i w:val="0"/>
        </w:rPr>
        <w:t>Absent: Dr. P.K. Rajan (CMC Vellore) — on medical leave. Dr. H. Vohra (Industry representative, ABLE) — not invited to closed session items, joined only for Agenda Item 3.</w:t>
      </w:r>
    </w:p>
    <w:p>
      <w:r>
        <w:rPr>
          <w:b w:val="0"/>
          <w:i/>
        </w:rPr>
        <w:t>Minutes: Mr. Kiran Shetty, Section Officer, CDSCO (no technical background — please verify all technical content before ratification)</w:t>
      </w:r>
    </w:p>
    <w:p/>
    <w:p>
      <w:pPr>
        <w:pBdr>
          <w:bottom w:val="single" w:sz="6" w:space="1" w:color="999999"/>
        </w:pBdr>
      </w:pPr>
    </w:p>
    <w:p>
      <w:pPr>
        <w:pStyle w:val="Heading2"/>
      </w:pPr>
      <w:r>
        <w:t>AGENDA ITEM 1: Application for Market Authorisation — Bevacizumab Biosimilar (Bevacirel) — Cipla Ltd.</w:t>
      </w:r>
    </w:p>
    <w:p>
      <w:r>
        <w:rPr>
          <w:b w:val="0"/>
          <w:i w:val="0"/>
        </w:rPr>
        <w:t>[Presentation slides distributed physically — not attached to these minutes. Digital copy requested from Cipla but not yet received as of writing.]</w:t>
      </w:r>
    </w:p>
    <w:p/>
    <w:p>
      <w:r>
        <w:rPr>
          <w:b w:val="0"/>
          <w:i w:val="0"/>
        </w:rPr>
        <w:t>10:25 AM — Dr. Anand introduced the application. Cipla's regulatory team (Dr. Rajesh Kumar, VP RA and Dr. Pooja Saxena, Medical Affairs) presented. This is Cipla's third biosimilar application this year.</w:t>
      </w:r>
    </w:p>
    <w:p>
      <w:r>
        <w:rPr>
          <w:b w:val="0"/>
          <w:i w:val="0"/>
        </w:rPr>
        <w:t>Summary of Cipla Presentation: Bevacirel (bevacizumab biosimilar) — proposed for metastatic colorectal cancer, NSCLC, glioblastoma, and ovarian cancer (same indications as reference product Avastin, Roche). Analytical similarity exercise: 47 quality attributes tested. Functional assays: VEGF binding, ADCC, complement — results comparable within 90% CI for all critical quality attributes. PK comparability study: 54 healthy volunteers (single dose 1mg/kg IV), Indian subjects. PK parameters (AUC, Cmax, t½) bioequivalent to Avastin (all within 80–125%). Phase III efficacy study: 150 patients mCRC, randomised 1:1 Bevacirel vs Avastin (both with FOLFOX). Primary endpoint ORR: Bevacirel 38.7% vs Avastin 41.3% — equivalent (90% CI -12.1% to +7.1%, within equivalence margin ±15%). Immunogenicity: ADA positive at 24 weeks — Bevacirel 4.0%, Avastin 3.3% (no statistically significant difference). Safety profile similar.</w:t>
      </w:r>
    </w:p>
    <w:p/>
    <w:p>
      <w:r>
        <w:rPr>
          <w:b/>
          <w:i w:val="0"/>
        </w:rPr>
        <w:t>10:55 AM — Committee discussion (verbatim notes — not cleaned up):</w:t>
      </w:r>
    </w:p>
    <w:p>
      <w:r>
        <w:rPr>
          <w:b w:val="0"/>
          <w:i w:val="0"/>
        </w:rPr>
        <w:t>Dr. Krishnaswamy raised the sample size issue immediately. 150 patients in Phase III is small for a biosimilar confirmation study. He noted that EMA guidelines for bevacizumab biosimilars recommended 300+ patients and that the CI for ORR was quite wide — the lower bound of -12.1% is clinically concerning if it represents real-world performance. He wanted a written response on why 150 was chosen and whether there was any power calculation justification. Cipla's Dr. Pooja Saxena said this was pre-agreed with CDSCO at a pre-submission meeting in April 2023 and referenced meeting minutes — Mr. Shetty to verify this with CDSCO files and report back to chair before next meeting.</w:t>
      </w:r>
    </w:p>
    <w:p>
      <w:r>
        <w:rPr>
          <w:b w:val="0"/>
          <w:i w:val="0"/>
        </w:rPr>
        <w:t>Dr. Nalini Ghosh asked about GBM (glioblastoma) indication. Bevacizumab has an accelerated approval in US for GBM but this was subsequently withdrawn by FDA in 2023 after confirmatory trials failed to show OS benefit. She strongly objected to including GBM in the Indian label given this regulatory history. Dr. Anand agreed this needs to be flagged. Cipla team stated they had not been aware of the withdrawal. [Action: Cipla to submit updated global regulatory status document within 2 weeks — i.e. by 01 April 2024.]</w:t>
      </w:r>
    </w:p>
    <w:p>
      <w:r>
        <w:rPr>
          <w:b w:val="0"/>
          <w:i w:val="0"/>
        </w:rPr>
        <w:t>Ms. Priya Mehta noted that biosimilar interchangeability — automatic substitution at pharmacy — is not currently part of the Indian regulatory framework but may become relevant as more biosimilars are approved. She suggested the committee issue a guidance statement. Dr. Anand agreed to bring this as a separate agenda item at the next meeting. Ms. Mehta to draft a 2-page note for pre-reading.</w:t>
      </w:r>
    </w:p>
    <w:p>
      <w:r>
        <w:rPr>
          <w:b w:val="0"/>
          <w:i w:val="0"/>
        </w:rPr>
        <w:t>Dr. Sunita Agarwal (video call — some audio issues, she had to repeat parts of her comments) raised concerns about the immunogenicity data. The 24-week timepoint may be insufficient — bevacizumab antibodies can develop later. She recommended extending the immunogenicity follow-up to 52 weeks in the post-marketing study. The committee agreed this should be a condition of approval.</w:t>
      </w:r>
    </w:p>
    <w:p>
      <w:r>
        <w:rPr>
          <w:b w:val="0"/>
          <w:i w:val="0"/>
        </w:rPr>
        <w:t>Dr. Sharma asked whether there is any Indian-specific hypersensitivity data. Infusion reactions are known with bevacizumab. Cipla confirmed 0 Grade 3-4 infusion reactions in the 150-patient study but Dr. Sharma noted the sample is too small to detect rare reactions reliably. He recommended a post-marketing pharmacovigilance registry of at least 500 patients with active follow-up for hypersensitivity.</w:t>
      </w:r>
    </w:p>
    <w:p/>
    <w:p>
      <w:r>
        <w:rPr>
          <w:b/>
          <w:i w:val="0"/>
          <w:color w:val="006400"/>
        </w:rPr>
        <w:t>12:00 PM — DECISION — Agenda Item 1:</w:t>
      </w:r>
    </w:p>
    <w:p>
      <w:r>
        <w:rPr>
          <w:b w:val="0"/>
          <w:i w:val="0"/>
        </w:rPr>
        <w:t>After discussion, the committee voted 5:1 in favour of recommending conditional market authorisation for Bevacirel. Dr. Krishnaswamy was the dissenting vote — his primary concern was sample size adequacy. The conditions are as follows (Mr. Shetty please list carefully):</w:t>
      </w:r>
    </w:p>
    <w:p>
      <w:pPr>
        <w:pStyle w:val="ListBullet"/>
      </w:pPr>
      <w:r>
        <w:t>GBM indication: EXCLUDED from Indian label pending review of FDA withdrawal and global data — Cipla to resubmit with updated data within 3 months</w:t>
      </w:r>
    </w:p>
    <w:p>
      <w:pPr>
        <w:pStyle w:val="ListBullet"/>
      </w:pPr>
      <w:r>
        <w:t>Post-marketing Phase IV immunogenicity study: Extended to 52 weeks, minimum 200 patients, annual report to CDSCO</w:t>
      </w:r>
    </w:p>
    <w:p>
      <w:pPr>
        <w:pStyle w:val="ListBullet"/>
      </w:pPr>
      <w:r>
        <w:t>Post-marketing pharmacovigilance registry: 500 patients, focus on hypersensitivity and infusion reactions, 18-month active follow-up</w:t>
      </w:r>
    </w:p>
    <w:p>
      <w:pPr>
        <w:pStyle w:val="ListBullet"/>
      </w:pPr>
      <w:r>
        <w:t>Interchangeability: Label must explicitly state 'not automatically interchangeable' until CDSCO issues biosimilar interchangeability guidance</w:t>
      </w:r>
    </w:p>
    <w:p>
      <w:pPr>
        <w:pStyle w:val="ListBullet"/>
      </w:pPr>
      <w:r>
        <w:t>Cipla to submit updated global regulatory status dossier (post-FDA GBM withdrawal) within 2 weeks</w:t>
      </w:r>
    </w:p>
    <w:p/>
    <w:p>
      <w:pPr>
        <w:pBdr>
          <w:bottom w:val="single" w:sz="6" w:space="1" w:color="999999"/>
        </w:pBdr>
      </w:pPr>
    </w:p>
    <w:p>
      <w:pPr>
        <w:pStyle w:val="Heading2"/>
      </w:pPr>
      <w:r>
        <w:t>AGENDA ITEM 2: Adalimumab Biosimilar Benefit-Risk Review — Post-Marketing Safety Signal</w:t>
      </w:r>
    </w:p>
    <w:p>
      <w:r>
        <w:rPr>
          <w:b w:val="0"/>
          <w:i w:val="0"/>
        </w:rPr>
        <w:t>[Closed session — Industry representative Dr. Vohra was asked to wait outside. Joined after this item concluded at ~1:45 PM]</w:t>
      </w:r>
    </w:p>
    <w:p>
      <w:r>
        <w:rPr>
          <w:b w:val="0"/>
          <w:i w:val="0"/>
        </w:rPr>
        <w:t>12:20 PM — Ms. Priya Mehta presented. Background: 3 approved adalimumab biosimilars in India (Exemptia, Adalimab-NK, Adipet). Post-marketing pharmacovigilance data pooled from all three — 12 cases of new-onset demyelinating disease (MS, optic neuritis) reported from 8 hospitals across India in past 18 months. Global rate for originator Humira: approx 0.1 per 1000 patient-years. Current Indian case count suggests higher-than-expected rate — however, causality is difficult to establish given comorbidities and lack of baseline neurological assessments in most patients.</w:t>
      </w:r>
    </w:p>
    <w:p>
      <w:r>
        <w:rPr>
          <w:b w:val="0"/>
          <w:i w:val="0"/>
        </w:rPr>
        <w:t>Dr. Krishnaswamy: Given the known class effect of TNF-alpha inhibitors and demyelination (well-documented for infliximab and etanercept), this is a serious concern. India has high MS misdiagnosis rates — data quality is an issue. However, the precautionary principle applies.</w:t>
      </w:r>
    </w:p>
    <w:p>
      <w:r>
        <w:rPr>
          <w:b w:val="0"/>
          <w:i w:val="0"/>
        </w:rPr>
        <w:t>Dr. Anand: CDSCO needs to take action. What is the minimum action that protects patients while not creating unnecessary panic?</w:t>
      </w:r>
    </w:p>
    <w:p>
      <w:r>
        <w:rPr>
          <w:b w:val="0"/>
          <w:i w:val="0"/>
        </w:rPr>
        <w:t>After discussion — agreed actions (Dr. Anand to write formal order by 25 March 2024): All three manufacturers to issue Dear Healthcare Professional communication within 30 days — highlighting demyelination risk, contraindication in pre-existing MS/CNS demyelinating disease, requirement for baseline neurological assessment before initiation. Prescribing restriction — neurological evaluation required before starting adalimumab biosimilar in any patient with family history of MS. All three companies to submit updated PSUR with Indian demyelination data within 60 days.</w:t>
      </w:r>
    </w:p>
    <w:p/>
    <w:p>
      <w:pPr>
        <w:pBdr>
          <w:bottom w:val="single" w:sz="6" w:space="1" w:color="999999"/>
        </w:pBdr>
      </w:pPr>
    </w:p>
    <w:p>
      <w:pPr>
        <w:pStyle w:val="Heading2"/>
      </w:pPr>
      <w:r>
        <w:t>AGENDA ITEM 3: Discussion — Regulatory Pathway for Complex Biosimilars (Monoclonal Antibody Mixtures)</w:t>
      </w:r>
    </w:p>
    <w:p>
      <w:r>
        <w:rPr>
          <w:b w:val="0"/>
          <w:i w:val="0"/>
        </w:rPr>
        <w:t>[Dr. Vohra re-joined for this item at 1:48 PM. Also present: Dr. Vivek Rajan, Biocon (presenting)]</w:t>
      </w:r>
    </w:p>
    <w:p>
      <w:r>
        <w:rPr>
          <w:b w:val="0"/>
          <w:i w:val="0"/>
        </w:rPr>
        <w:t>1:50 PM — Dr. Vivek Rajan (Biocon) presented industry perspective on regulatory clarity needed for bispecific antibody biosimilars — a category currently without any regulatory pathway in India. Countries like US and EU have not issued specific guidance either. Biocon flagged that 4 bispecific antibodies are coming off patent in 2026–2028 (catumaxomab, blinatumomab, emicizumab) and industry needs regulatory clarity now.</w:t>
      </w:r>
    </w:p>
    <w:p>
      <w:r>
        <w:rPr>
          <w:b w:val="0"/>
          <w:i w:val="0"/>
        </w:rPr>
        <w:t>Dr. Anand: This is noted. CDSCO will form a working group. Timeline: working group to submit draft concept paper by December 2024. [Action: Ms. Priya Mehta to constitute working group, include industry and academic representatives, terms of reference by 15 April 2024]</w:t>
      </w:r>
    </w:p>
    <w:p>
      <w:r>
        <w:rPr>
          <w:b w:val="0"/>
          <w:i w:val="0"/>
        </w:rPr>
        <w:t>Dr. Vohra (ABLE): Industry requests that any new guidelines go through a minimum 90-day public consultation. Committee agreed this is standard practice and would be followed.</w:t>
      </w:r>
    </w:p>
    <w:p/>
    <w:p>
      <w:pPr>
        <w:pBdr>
          <w:bottom w:val="single" w:sz="6" w:space="1" w:color="999999"/>
        </w:pBdr>
      </w:pPr>
    </w:p>
    <w:p>
      <w:pPr>
        <w:pStyle w:val="Heading2"/>
      </w:pPr>
      <w:r>
        <w:t>MISCELLANEOUS</w:t>
      </w:r>
    </w:p>
    <w:p>
      <w:r>
        <w:rPr>
          <w:b w:val="0"/>
          <w:i w:val="0"/>
        </w:rPr>
        <w:t>Dr. Anand reminded the committee that the CDSCO annual biosimilar report for FY 2023-24 is due by 30 April 2024. Ms. Mehta to compile. Dr. Ghosh mentioned that 3 queries from the previous meeting (22nd session — Denosumab biosimilar) are still pending responses from the sponsor (Natco Pharma). Mr. Shetty to follow up with Natco and report status to chair by 29 March 2024.</w:t>
      </w:r>
    </w:p>
    <w:p>
      <w:r>
        <w:rPr>
          <w:b w:val="0"/>
          <w:i w:val="0"/>
        </w:rPr>
        <w:t>Next Meeting: Tentatively 22 April 2024, same venue. Confirmed once quorum confirmed — 5 of 8 members have travel conflicts that week. Ms. Priya Mehta to circulate Doodle poll by 25 March 2024.</w:t>
      </w:r>
    </w:p>
    <w:p>
      <w:r>
        <w:rPr>
          <w:b w:val="0"/>
          <w:i w:val="0"/>
        </w:rPr>
        <w:t>Meeting closed approximately 3:10 PM.</w:t>
      </w:r>
    </w:p>
    <w:p>
      <w:pPr>
        <w:pBdr>
          <w:bottom w:val="single" w:sz="6" w:space="1" w:color="999999"/>
        </w:pBdr>
      </w:pPr>
    </w:p>
    <w:p>
      <w:r>
        <w:rPr>
          <w:b w:val="0"/>
          <w:i/>
          <w:sz w:val="18"/>
        </w:rPr>
        <w:t>Minutes recorded by: Mr. Kiran Shetty, Section Officer, CDSCO | Draft circulated: 20 March 2024</w:t>
      </w:r>
    </w:p>
    <w:p>
      <w:r>
        <w:rPr>
          <w:b/>
          <w:i w:val="0"/>
          <w:sz w:val="18"/>
        </w:rPr>
        <w:t>IMPORTANT: These are unedited draft minutes. All technical details, figures, and decisions should be verified against presentation slides and audio recording before ratification.</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