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BATCH SAE CASE SERIES — PHARMACOVIGILANCE UNIT</w:t>
      </w:r>
    </w:p>
    <w:p>
      <w:r>
        <w:rPr>
          <w:b/>
        </w:rPr>
        <w:t>Institute: AIIMS New Delhi  |  Report Date: 10 March 2024  |  Batch Ref: AIIMS-PV-2024-BATCH-07</w:t>
      </w:r>
    </w:p>
    <w:p>
      <w:r>
        <w:rPr>
          <w:b w:val="0"/>
        </w:rPr>
        <w:t>NOTE: This file contains three separate SAE reports for batch classification. Each report is separated by a divider line.</w:t>
      </w:r>
    </w:p>
    <w:p/>
    <w:p>
      <w:r>
        <w:rPr>
          <w:b/>
        </w:rPr>
        <w:t>======================================================================</w:t>
      </w:r>
    </w:p>
    <w:p>
      <w:pPr>
        <w:pStyle w:val="Heading2"/>
      </w:pPr>
      <w:r>
        <w:t>REPORT 1 OF 3 — CASE ID: AIIMS-PV-2024-0312</w:t>
      </w:r>
    </w:p>
    <w:p>
      <w:r>
        <w:rPr>
          <w:b/>
        </w:rPr>
        <w:t>======================================================================</w:t>
      </w:r>
    </w:p>
    <w:p>
      <w:r>
        <w:rPr>
          <w:b/>
          <w:sz w:val="20"/>
        </w:rPr>
        <w:t xml:space="preserve">Case ID: </w:t>
      </w:r>
      <w:r>
        <w:rPr>
          <w:sz w:val="20"/>
        </w:rPr>
        <w:t>AIIMS-PV-2024-0312</w:t>
      </w:r>
    </w:p>
    <w:p>
      <w:r>
        <w:rPr>
          <w:b/>
          <w:sz w:val="20"/>
        </w:rPr>
        <w:t xml:space="preserve">Reporter: </w:t>
      </w:r>
      <w:r>
        <w:rPr>
          <w:sz w:val="20"/>
        </w:rPr>
        <w:t>Dr. Ramesh Gupta, Senior Resident, Department of Haematology</w:t>
      </w:r>
    </w:p>
    <w:p>
      <w:r>
        <w:rPr>
          <w:b/>
          <w:sz w:val="20"/>
        </w:rPr>
        <w:t xml:space="preserve">Date of Report: </w:t>
      </w:r>
      <w:r>
        <w:rPr>
          <w:sz w:val="20"/>
        </w:rPr>
        <w:t>05 March 2024</w:t>
      </w:r>
    </w:p>
    <w:p>
      <w:r>
        <w:rPr>
          <w:b/>
          <w:sz w:val="20"/>
        </w:rPr>
        <w:t xml:space="preserve">Suspect Drug: </w:t>
      </w:r>
      <w:r>
        <w:rPr>
          <w:sz w:val="20"/>
        </w:rPr>
        <w:t>Imatinib 400mg OD</w:t>
      </w:r>
    </w:p>
    <w:p>
      <w:r>
        <w:rPr>
          <w:b/>
          <w:sz w:val="20"/>
        </w:rPr>
        <w:t xml:space="preserve">Indication: </w:t>
      </w:r>
      <w:r>
        <w:rPr>
          <w:sz w:val="20"/>
        </w:rPr>
        <w:t>Chronic Myeloid Leukaemia (CML) — chronic phase</w:t>
      </w:r>
    </w:p>
    <w:p>
      <w:r>
        <w:rPr>
          <w:b/>
          <w:sz w:val="20"/>
        </w:rPr>
        <w:t xml:space="preserve">Patient: </w:t>
      </w:r>
      <w:r>
        <w:rPr>
          <w:sz w:val="20"/>
        </w:rPr>
        <w:t>38F, known CML, on Imatinib for 18 months</w:t>
      </w:r>
    </w:p>
    <w:p>
      <w:pPr>
        <w:pStyle w:val="Heading3"/>
      </w:pPr>
      <w:r>
        <w:t>Adverse Event Description</w:t>
      </w:r>
    </w:p>
    <w:p>
      <w:r>
        <w:rPr>
          <w:b w:val="0"/>
        </w:rPr>
        <w:t>Patient presented to emergency on 03/03/2024 with sudden onset severe dyspnoea and bilateral leg swelling. Echocardiography revealed new pericardial effusion (moderate, non-haemodynamic). BNP elevated at 980 pg/mL. No prior cardiac history. Imatinib-induced pericarditis suspected. Drug withdrawn immediately. Patient hospitalised for 6 days. Treated with Ibuprofen + Colchicine. Repeat echo at day 5 showed reduction in effusion. Discharged with cardiology follow-up.</w:t>
      </w:r>
    </w:p>
    <w:p>
      <w:r>
        <w:rPr>
          <w:b/>
          <w:sz w:val="20"/>
        </w:rPr>
        <w:t xml:space="preserve">Seriousness: </w:t>
      </w:r>
      <w:r>
        <w:rPr>
          <w:sz w:val="20"/>
        </w:rPr>
        <w:t>Hospitalisation Required</w:t>
      </w:r>
    </w:p>
    <w:p>
      <w:r>
        <w:rPr>
          <w:b/>
          <w:sz w:val="20"/>
        </w:rPr>
        <w:t xml:space="preserve">Outcome: </w:t>
      </w:r>
      <w:r>
        <w:rPr>
          <w:sz w:val="20"/>
        </w:rPr>
        <w:t>Recovering — discharged on Day 6</w:t>
      </w:r>
    </w:p>
    <w:p>
      <w:r>
        <w:rPr>
          <w:b/>
          <w:sz w:val="20"/>
        </w:rPr>
        <w:t xml:space="preserve">Causality (WHO-UMC): </w:t>
      </w:r>
      <w:r>
        <w:rPr>
          <w:sz w:val="20"/>
        </w:rPr>
        <w:t>Probable</w:t>
      </w:r>
    </w:p>
    <w:p>
      <w:r>
        <w:rPr>
          <w:b/>
          <w:sz w:val="20"/>
        </w:rPr>
        <w:t xml:space="preserve">Action Taken: </w:t>
      </w:r>
      <w:r>
        <w:rPr>
          <w:sz w:val="20"/>
        </w:rPr>
        <w:t>Drug withdrawn. Alternative TKI (Dasatinib) to be considered after cardiac clearance.</w:t>
      </w:r>
    </w:p>
    <w:p/>
    <w:p>
      <w:r>
        <w:rPr>
          <w:b/>
        </w:rPr>
        <w:t>======================================================================</w:t>
      </w:r>
    </w:p>
    <w:p>
      <w:pPr>
        <w:pStyle w:val="Heading2"/>
      </w:pPr>
      <w:r>
        <w:t>REPORT 2 OF 3 — CASE ID: AIIMS-PV-2024-0313</w:t>
      </w:r>
    </w:p>
    <w:p>
      <w:r>
        <w:rPr>
          <w:b/>
        </w:rPr>
        <w:t>======================================================================</w:t>
      </w:r>
    </w:p>
    <w:p>
      <w:r>
        <w:rPr>
          <w:b/>
          <w:sz w:val="20"/>
        </w:rPr>
        <w:t xml:space="preserve">Case ID: </w:t>
      </w:r>
      <w:r>
        <w:rPr>
          <w:sz w:val="20"/>
        </w:rPr>
        <w:t>AIIMS-PV-2024-0313</w:t>
      </w:r>
    </w:p>
    <w:p>
      <w:r>
        <w:rPr>
          <w:b/>
          <w:sz w:val="20"/>
        </w:rPr>
        <w:t xml:space="preserve">Reporter: </w:t>
      </w:r>
      <w:r>
        <w:rPr>
          <w:sz w:val="20"/>
        </w:rPr>
        <w:t>Dr. Priya Nair, DM Nephrology</w:t>
      </w:r>
    </w:p>
    <w:p>
      <w:r>
        <w:rPr>
          <w:b/>
          <w:sz w:val="20"/>
        </w:rPr>
        <w:t xml:space="preserve">Date of Report: </w:t>
      </w:r>
      <w:r>
        <w:rPr>
          <w:sz w:val="20"/>
        </w:rPr>
        <w:t>06 March 2024</w:t>
      </w:r>
    </w:p>
    <w:p>
      <w:r>
        <w:rPr>
          <w:b/>
          <w:sz w:val="20"/>
        </w:rPr>
        <w:t xml:space="preserve">Suspect Drug: </w:t>
      </w:r>
      <w:r>
        <w:rPr>
          <w:sz w:val="20"/>
        </w:rPr>
        <w:t>Amphotericin B (conventional) 1mg/kg/day IV</w:t>
      </w:r>
    </w:p>
    <w:p>
      <w:r>
        <w:rPr>
          <w:b/>
          <w:sz w:val="20"/>
        </w:rPr>
        <w:t xml:space="preserve">Indication: </w:t>
      </w:r>
      <w:r>
        <w:rPr>
          <w:sz w:val="20"/>
        </w:rPr>
        <w:t>Invasive aspergillosis post-renal transplant</w:t>
      </w:r>
    </w:p>
    <w:p>
      <w:r>
        <w:rPr>
          <w:b/>
          <w:sz w:val="20"/>
        </w:rPr>
        <w:t xml:space="preserve">Patient: </w:t>
      </w:r>
      <w:r>
        <w:rPr>
          <w:sz w:val="20"/>
        </w:rPr>
        <w:t>54M, renal transplant recipient, 3 months post-transplant</w:t>
      </w:r>
    </w:p>
    <w:p>
      <w:pPr>
        <w:pStyle w:val="Heading3"/>
      </w:pPr>
      <w:r>
        <w:t>Adverse Event Description</w:t>
      </w:r>
    </w:p>
    <w:p>
      <w:r>
        <w:rPr>
          <w:b w:val="0"/>
        </w:rPr>
        <w:t>Patient developed acute kidney injury (AKI) on Day 8 of Amphotericin B therapy. Serum creatinine rose from 1.4 mg/dL (baseline post-transplant) to 4.8 mg/dL over 4 days. Urine output fell to 300 mL/24h (oliguria). No obstruction on USG. Biopsy deferred. Amphotericin B discontinued on Day 9. Switched to voriconazole. Over next 10 days creatinine trended down to 2.1 mg/dL. Graft function partially recovered. Patient remains on enhanced immunosuppression monitoring.</w:t>
      </w:r>
    </w:p>
    <w:p>
      <w:r>
        <w:rPr>
          <w:b/>
          <w:sz w:val="20"/>
        </w:rPr>
        <w:t xml:space="preserve">Seriousness: </w:t>
      </w:r>
      <w:r>
        <w:rPr>
          <w:sz w:val="20"/>
        </w:rPr>
        <w:t>Life-Threatening</w:t>
      </w:r>
    </w:p>
    <w:p>
      <w:r>
        <w:rPr>
          <w:b/>
          <w:sz w:val="20"/>
        </w:rPr>
        <w:t xml:space="preserve">Outcome: </w:t>
      </w:r>
      <w:r>
        <w:rPr>
          <w:sz w:val="20"/>
        </w:rPr>
        <w:t>Recovering — partial renal recovery</w:t>
      </w:r>
    </w:p>
    <w:p>
      <w:r>
        <w:rPr>
          <w:b/>
          <w:sz w:val="20"/>
        </w:rPr>
        <w:t xml:space="preserve">Causality (WHO-UMC): </w:t>
      </w:r>
      <w:r>
        <w:rPr>
          <w:sz w:val="20"/>
        </w:rPr>
        <w:t>Certain</w:t>
      </w:r>
    </w:p>
    <w:p>
      <w:r>
        <w:rPr>
          <w:b/>
          <w:sz w:val="20"/>
        </w:rPr>
        <w:t xml:space="preserve">Action Taken: </w:t>
      </w:r>
      <w:r>
        <w:rPr>
          <w:sz w:val="20"/>
        </w:rPr>
        <w:t>Dose reduction then withdrawal. Switched antifungal class.</w:t>
      </w:r>
    </w:p>
    <w:p/>
    <w:p>
      <w:r>
        <w:rPr>
          <w:b/>
        </w:rPr>
        <w:t>======================================================================</w:t>
      </w:r>
    </w:p>
    <w:p>
      <w:pPr>
        <w:pStyle w:val="Heading2"/>
      </w:pPr>
      <w:r>
        <w:t>REPORT 3 OF 3 — CASE ID: AIIMS-PV-2024-0314</w:t>
      </w:r>
    </w:p>
    <w:p>
      <w:r>
        <w:rPr>
          <w:b/>
        </w:rPr>
        <w:t>======================================================================</w:t>
      </w:r>
    </w:p>
    <w:p>
      <w:r>
        <w:rPr>
          <w:b/>
          <w:sz w:val="20"/>
        </w:rPr>
        <w:t xml:space="preserve">Case ID: </w:t>
      </w:r>
      <w:r>
        <w:rPr>
          <w:sz w:val="20"/>
        </w:rPr>
        <w:t>AIIMS-PV-2024-0314</w:t>
      </w:r>
    </w:p>
    <w:p>
      <w:r>
        <w:rPr>
          <w:b/>
          <w:sz w:val="20"/>
        </w:rPr>
        <w:t xml:space="preserve">Reporter: </w:t>
      </w:r>
      <w:r>
        <w:rPr>
          <w:sz w:val="20"/>
        </w:rPr>
        <w:t>Dr. Kavita Sharma, Dept. of Obstetrics &amp; Gynaecology</w:t>
      </w:r>
    </w:p>
    <w:p>
      <w:r>
        <w:rPr>
          <w:b/>
          <w:sz w:val="20"/>
        </w:rPr>
        <w:t xml:space="preserve">Date of Report: </w:t>
      </w:r>
      <w:r>
        <w:rPr>
          <w:sz w:val="20"/>
        </w:rPr>
        <w:t>07 March 2024</w:t>
      </w:r>
    </w:p>
    <w:p>
      <w:r>
        <w:rPr>
          <w:b/>
          <w:sz w:val="20"/>
        </w:rPr>
        <w:t xml:space="preserve">Suspect Drug: </w:t>
      </w:r>
      <w:r>
        <w:rPr>
          <w:sz w:val="20"/>
        </w:rPr>
        <w:t>Misoprostol 800mcg sublingual (off-label for 1st trimester missed abortion)</w:t>
      </w:r>
    </w:p>
    <w:p>
      <w:r>
        <w:rPr>
          <w:b/>
          <w:sz w:val="20"/>
        </w:rPr>
        <w:t xml:space="preserve">Indication: </w:t>
      </w:r>
      <w:r>
        <w:rPr>
          <w:sz w:val="20"/>
        </w:rPr>
        <w:t>Missed abortion at 10 weeks gestation</w:t>
      </w:r>
    </w:p>
    <w:p>
      <w:r>
        <w:rPr>
          <w:b/>
          <w:sz w:val="20"/>
        </w:rPr>
        <w:t xml:space="preserve">Patient: </w:t>
      </w:r>
      <w:r>
        <w:rPr>
          <w:sz w:val="20"/>
        </w:rPr>
        <w:t>29F, G2P1, 10 weeks gestation, no known comorbidities</w:t>
      </w:r>
    </w:p>
    <w:p>
      <w:pPr>
        <w:pStyle w:val="Heading3"/>
      </w:pPr>
      <w:r>
        <w:t>Adverse Event Description</w:t>
      </w:r>
    </w:p>
    <w:p>
      <w:r>
        <w:rPr>
          <w:b w:val="0"/>
        </w:rPr>
        <w:t>Patient administered misoprostol 800mcg sublingual as outpatient on 04/03/2024. Within 4 hours developed heavy bleeding (soaking &gt;5 pads/hour), severe cramping, and syncopal episode. Brought to casualty by family. Vitals on arrival: BP 82/50, HR 128, SpO2 96% on room air. Haemoglobin 6.2 g/dL (pre-procedure: 11.4 g/dL). Emergency uterine evacuation performed under GA. 2 units PRBC transfused. Post-procedure stable. Uterine perforation ruled out on laparoscopy. Discharged Day 3. Incident reported to hospital pharmacovigilance committee.</w:t>
      </w:r>
    </w:p>
    <w:p>
      <w:r>
        <w:rPr>
          <w:b/>
          <w:sz w:val="20"/>
        </w:rPr>
        <w:t xml:space="preserve">Seriousness: </w:t>
      </w:r>
      <w:r>
        <w:rPr>
          <w:sz w:val="20"/>
        </w:rPr>
        <w:t>Life-Threatening</w:t>
      </w:r>
    </w:p>
    <w:p>
      <w:r>
        <w:rPr>
          <w:b/>
          <w:sz w:val="20"/>
        </w:rPr>
        <w:t xml:space="preserve">Outcome: </w:t>
      </w:r>
      <w:r>
        <w:rPr>
          <w:sz w:val="20"/>
        </w:rPr>
        <w:t>Recovered — full recovery after transfusion and evacuation</w:t>
      </w:r>
    </w:p>
    <w:p>
      <w:r>
        <w:rPr>
          <w:b/>
          <w:sz w:val="20"/>
        </w:rPr>
        <w:t xml:space="preserve">Causality (WHO-UMC): </w:t>
      </w:r>
      <w:r>
        <w:rPr>
          <w:sz w:val="20"/>
        </w:rPr>
        <w:t>Probable — dose and route may have contributed</w:t>
      </w:r>
    </w:p>
    <w:p>
      <w:r>
        <w:rPr>
          <w:b/>
          <w:sz w:val="20"/>
        </w:rPr>
        <w:t xml:space="preserve">Action Taken: </w:t>
      </w:r>
      <w:r>
        <w:rPr>
          <w:sz w:val="20"/>
        </w:rPr>
        <w:t>Dose review. Departmental protocol to be revised for outpatient misoprostol use.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