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B0000"/>
        </w:rPr>
        <w:t>SERIOUS ADVERSE EVENT REPORT</w:t>
      </w:r>
    </w:p>
    <w:p>
      <w:r>
        <w:rPr>
          <w:b w:val="0"/>
          <w:i/>
        </w:rPr>
        <w:t>CIOMS Form I — Individual Case Safety Report (ICSR)</w:t>
      </w:r>
    </w:p>
    <w:p>
      <w:r>
        <w:rPr>
          <w:b/>
          <w:i w:val="0"/>
        </w:rPr>
        <w:t>Submitted to: Central Drugs Standard Control Organisation (CDSCO), New Delhi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A. Administrative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E6E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Case Reference No.</w:t>
            </w:r>
          </w:p>
        </w:tc>
        <w:tc>
          <w:tcPr>
            <w:tcW w:type="dxa" w:w="4703"/>
          </w:tcPr>
          <w:p>
            <w:r>
              <w:t>SAE-2024-MH-0341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Initial / Follow-up</w:t>
            </w:r>
          </w:p>
        </w:tc>
        <w:tc>
          <w:tcPr>
            <w:tcW w:type="dxa" w:w="4703"/>
          </w:tcPr>
          <w:p>
            <w:r>
              <w:t>Initial Report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4703"/>
          </w:tcPr>
          <w:p>
            <w:r>
              <w:t>28 March 2024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Receipt by Sponsor</w:t>
            </w:r>
          </w:p>
        </w:tc>
        <w:tc>
          <w:tcPr>
            <w:tcW w:type="dxa" w:w="4703"/>
          </w:tcPr>
          <w:p>
            <w:r>
              <w:t>21 March 2024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Receipt by CDSCO</w:t>
            </w:r>
          </w:p>
        </w:tc>
        <w:tc>
          <w:tcPr>
            <w:tcW w:type="dxa" w:w="4703"/>
          </w:tcPr>
          <w:p>
            <w:r>
              <w:t>28 March 2024 (within 7-day expedited reporting)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Sponsor Name</w:t>
            </w:r>
          </w:p>
        </w:tc>
        <w:tc>
          <w:tcPr>
            <w:tcW w:type="dxa" w:w="4703"/>
          </w:tcPr>
          <w:p>
            <w:r>
              <w:t>Pharma Solutions India Pvt. Ltd., Mumbai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Sponsor Address</w:t>
            </w:r>
          </w:p>
        </w:tc>
        <w:tc>
          <w:tcPr>
            <w:tcW w:type="dxa" w:w="4703"/>
          </w:tcPr>
          <w:p>
            <w:r>
              <w:t>Plot C-12, MIDC Andheri, Mumbai — 400093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Sponsor Contact Person</w:t>
            </w:r>
          </w:p>
        </w:tc>
        <w:tc>
          <w:tcPr>
            <w:tcW w:type="dxa" w:w="4703"/>
          </w:tcPr>
          <w:p>
            <w:r>
              <w:t>Dr. Neha Srivastava, Head — Pharmacovigilance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Sponsor Email</w:t>
            </w:r>
          </w:p>
        </w:tc>
        <w:tc>
          <w:tcPr>
            <w:tcW w:type="dxa" w:w="4703"/>
          </w:tcPr>
          <w:p>
            <w:r>
              <w:t>pvg@pharmasolutions.in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Sponsor Phone</w:t>
            </w:r>
          </w:p>
        </w:tc>
        <w:tc>
          <w:tcPr>
            <w:tcW w:type="dxa" w:w="4703"/>
          </w:tcPr>
          <w:p>
            <w:r>
              <w:t>022-28456789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Protocol Number</w:t>
            </w:r>
          </w:p>
        </w:tc>
        <w:tc>
          <w:tcPr>
            <w:tcW w:type="dxa" w:w="4703"/>
          </w:tcPr>
          <w:p>
            <w:r>
              <w:t>PSI-CV-2023-01, Version 4.0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Study Title</w:t>
            </w:r>
          </w:p>
        </w:tc>
        <w:tc>
          <w:tcPr>
            <w:tcW w:type="dxa" w:w="4703"/>
          </w:tcPr>
          <w:p>
            <w:r>
              <w:t>A Phase III, Randomised, Double-Blind, Placebo-Controlled Study to Evaluate Efficacy and Safety of Cardivex 10mg in Adults with High Cardiovascular Risk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IND/CTRI Number</w:t>
            </w:r>
          </w:p>
        </w:tc>
        <w:tc>
          <w:tcPr>
            <w:tcW w:type="dxa" w:w="4703"/>
          </w:tcPr>
          <w:p>
            <w:r>
              <w:t>CTRI/2023/06/054821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EudraCT / NCT</w:t>
            </w:r>
          </w:p>
        </w:tc>
        <w:tc>
          <w:tcPr>
            <w:tcW w:type="dxa" w:w="4703"/>
          </w:tcPr>
          <w:p>
            <w:r>
              <w:t>NCT05612347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Study Phase</w:t>
            </w:r>
          </w:p>
        </w:tc>
        <w:tc>
          <w:tcPr>
            <w:tcW w:type="dxa" w:w="4703"/>
          </w:tcPr>
          <w:p>
            <w:r>
              <w:t>Phase III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Country of Occurrence</w:t>
            </w:r>
          </w:p>
        </w:tc>
        <w:tc>
          <w:tcPr>
            <w:tcW w:type="dxa" w:w="4703"/>
          </w:tcPr>
          <w:p>
            <w:r>
              <w:t>India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Site Number</w:t>
            </w:r>
          </w:p>
        </w:tc>
        <w:tc>
          <w:tcPr>
            <w:tcW w:type="dxa" w:w="4703"/>
          </w:tcPr>
          <w:p>
            <w:r>
              <w:t>IN-008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Site Name</w:t>
            </w:r>
          </w:p>
        </w:tc>
        <w:tc>
          <w:tcPr>
            <w:tcW w:type="dxa" w:w="4703"/>
          </w:tcPr>
          <w:p>
            <w:r>
              <w:t>KEM Hospital and Research Centre, Mumbai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4703"/>
          </w:tcPr>
          <w:p>
            <w:r>
              <w:t>Dr. Anand Mehta, MD, DM (Cardiology)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PI Contact</w:t>
            </w:r>
          </w:p>
        </w:tc>
        <w:tc>
          <w:tcPr>
            <w:tcW w:type="dxa" w:w="4703"/>
          </w:tcPr>
          <w:p>
            <w:r>
              <w:t>dr.anand.mehta@kemhospital.org | 022-24107000 Ext. 345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Sub-Investigator</w:t>
            </w:r>
          </w:p>
        </w:tc>
        <w:tc>
          <w:tcPr>
            <w:tcW w:type="dxa" w:w="4703"/>
          </w:tcPr>
          <w:p>
            <w:r>
              <w:t>Dr. Pooja Kulkarni, MD</w:t>
            </w:r>
          </w:p>
        </w:tc>
      </w:tr>
    </w:tbl>
    <w:p/>
    <w:p>
      <w:pPr>
        <w:pStyle w:val="Heading2"/>
      </w:pPr>
      <w:r>
        <w:t>B. Patient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5E6E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703"/>
            <w:shd w:val="clear" w:color="auto" w:fill="F5E6E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Patient ID (Blinded)</w:t>
            </w:r>
          </w:p>
        </w:tc>
        <w:tc>
          <w:tcPr>
            <w:tcW w:type="dxa" w:w="4703"/>
          </w:tcPr>
          <w:p>
            <w:r>
              <w:t>PSI-CV-IN008-0047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Patient Full Name</w:t>
            </w:r>
          </w:p>
        </w:tc>
        <w:tc>
          <w:tcPr>
            <w:tcW w:type="dxa" w:w="4703"/>
          </w:tcPr>
          <w:p>
            <w:r>
              <w:t>Suresh Balakrishnan Iyer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4703"/>
          </w:tcPr>
          <w:p>
            <w:r>
              <w:t>22/07/1965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Age at Enrolment</w:t>
            </w:r>
          </w:p>
        </w:tc>
        <w:tc>
          <w:tcPr>
            <w:tcW w:type="dxa" w:w="4703"/>
          </w:tcPr>
          <w:p>
            <w:r>
              <w:t>58 Years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Gender</w:t>
            </w:r>
          </w:p>
        </w:tc>
        <w:tc>
          <w:tcPr>
            <w:tcW w:type="dxa" w:w="4703"/>
          </w:tcPr>
          <w:p>
            <w:r>
              <w:t>Male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4703"/>
          </w:tcPr>
          <w:p>
            <w:r>
              <w:t>72 kg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Height</w:t>
            </w:r>
          </w:p>
        </w:tc>
        <w:tc>
          <w:tcPr>
            <w:tcW w:type="dxa" w:w="4703"/>
          </w:tcPr>
          <w:p>
            <w:r>
              <w:t>168 cm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BMI</w:t>
            </w:r>
          </w:p>
        </w:tc>
        <w:tc>
          <w:tcPr>
            <w:tcW w:type="dxa" w:w="4703"/>
          </w:tcPr>
          <w:p>
            <w:r>
              <w:t>25.5 kg/m²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Aadhaar No.</w:t>
            </w:r>
          </w:p>
        </w:tc>
        <w:tc>
          <w:tcPr>
            <w:tcW w:type="dxa" w:w="4703"/>
          </w:tcPr>
          <w:p>
            <w:r>
              <w:t>4567 8901 2345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4703"/>
          </w:tcPr>
          <w:p>
            <w:r>
              <w:t>9823401267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703"/>
          </w:tcPr>
          <w:p>
            <w:r>
              <w:t>Flat 3B, Swastik Park, Chembur, Mumbai — 400071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Health Insurance</w:t>
            </w:r>
          </w:p>
        </w:tc>
        <w:tc>
          <w:tcPr>
            <w:tcW w:type="dxa" w:w="4703"/>
          </w:tcPr>
          <w:p>
            <w:r>
              <w:t>New India Assurance — Policy MH/2024/NIA/004512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Enrolment</w:t>
            </w:r>
          </w:p>
        </w:tc>
        <w:tc>
          <w:tcPr>
            <w:tcW w:type="dxa" w:w="4703"/>
          </w:tcPr>
          <w:p>
            <w:r>
              <w:t>14 November 2023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 of Randomisation</w:t>
            </w:r>
          </w:p>
        </w:tc>
        <w:tc>
          <w:tcPr>
            <w:tcW w:type="dxa" w:w="4703"/>
          </w:tcPr>
          <w:p>
            <w:r>
              <w:t>14 November 2023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Treatment Arm</w:t>
            </w:r>
          </w:p>
        </w:tc>
        <w:tc>
          <w:tcPr>
            <w:tcW w:type="dxa" w:w="4703"/>
          </w:tcPr>
          <w:p>
            <w:r>
              <w:t>Active — Cardivex 10mg (double-blind)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Screening No.</w:t>
            </w:r>
          </w:p>
        </w:tc>
        <w:tc>
          <w:tcPr>
            <w:tcW w:type="dxa" w:w="4703"/>
          </w:tcPr>
          <w:p>
            <w:r>
              <w:t>PSI-CV-SCR-IN008-0092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Informed Consent Date</w:t>
            </w:r>
          </w:p>
        </w:tc>
        <w:tc>
          <w:tcPr>
            <w:tcW w:type="dxa" w:w="4703"/>
          </w:tcPr>
          <w:p>
            <w:r>
              <w:t>10 November 2023 (signed by patient and PI)</w:t>
            </w:r>
          </w:p>
        </w:tc>
      </w:tr>
    </w:tbl>
    <w:p/>
    <w:p>
      <w:pPr>
        <w:pStyle w:val="Heading2"/>
      </w:pPr>
      <w:r>
        <w:t>C. Relevant Medical History &amp; Concomitant Medications</w:t>
      </w:r>
    </w:p>
    <w:p>
      <w:r>
        <w:rPr>
          <w:b/>
          <w:i w:val="0"/>
        </w:rPr>
        <w:t>Pre-existing Conditions:</w:t>
      </w:r>
    </w:p>
    <w:p>
      <w:pPr>
        <w:pStyle w:val="ListBullet"/>
      </w:pPr>
      <w:r>
        <w:t>Hypertension — diagnosed 2014, on treatment</w:t>
      </w:r>
    </w:p>
    <w:p>
      <w:pPr>
        <w:pStyle w:val="ListBullet"/>
      </w:pPr>
      <w:r>
        <w:t>Hypercholesterolaemia — LDL 168 mg/dL at screening</w:t>
      </w:r>
    </w:p>
    <w:p>
      <w:pPr>
        <w:pStyle w:val="ListBullet"/>
      </w:pPr>
      <w:r>
        <w:t>Anterior MI (non-STEMI) — June 2021, AIIMS Delhi, treated conservatively</w:t>
      </w:r>
    </w:p>
    <w:p>
      <w:pPr>
        <w:pStyle w:val="ListBullet"/>
      </w:pPr>
      <w:r>
        <w:t>Type 2 Diabetes Mellitus — controlled, HbA1c 7.1% at screening</w:t>
      </w:r>
    </w:p>
    <w:p>
      <w:pPr>
        <w:pStyle w:val="ListBullet"/>
      </w:pPr>
      <w:r>
        <w:t>Mild Chronic Obstructive Pulmonary Disease (COPD) — GOLD Stage 1</w:t>
      </w:r>
    </w:p>
    <w:p>
      <w:pPr>
        <w:pStyle w:val="ListBullet"/>
      </w:pPr>
      <w:r>
        <w:t>Benign Prostatic Hyperplasia (BPH)</w:t>
      </w:r>
    </w:p>
    <w:p>
      <w:r>
        <w:rPr>
          <w:b/>
          <w:i w:val="0"/>
        </w:rPr>
        <w:br/>
        <w:t>Concomitant Medications at Time of Event: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5E6E6"/>
          </w:tcPr>
          <w:p>
            <w:r>
              <w:rPr>
                <w:b/>
              </w:rPr>
              <w:t>Drug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b/>
              </w:rPr>
              <w:t>Dose</w:t>
            </w:r>
          </w:p>
        </w:tc>
        <w:tc>
          <w:tcPr>
            <w:tcW w:type="dxa" w:w="3135"/>
            <w:shd w:val="clear" w:color="auto" w:fill="F5E6E6"/>
          </w:tcPr>
          <w:p>
            <w:r>
              <w:rPr>
                <w:b/>
              </w:rPr>
              <w:t>Indication</w:t>
            </w:r>
          </w:p>
        </w:tc>
      </w:tr>
      <w:tr>
        <w:tc>
          <w:tcPr>
            <w:tcW w:type="dxa" w:w="3135"/>
          </w:tcPr>
          <w:p>
            <w:r>
              <w:t>Ramipril 5mg</w:t>
            </w:r>
          </w:p>
        </w:tc>
        <w:tc>
          <w:tcPr>
            <w:tcW w:type="dxa" w:w="3135"/>
          </w:tcPr>
          <w:p>
            <w:r>
              <w:t>5mg OD</w:t>
            </w:r>
          </w:p>
        </w:tc>
        <w:tc>
          <w:tcPr>
            <w:tcW w:type="dxa" w:w="3135"/>
          </w:tcPr>
          <w:p>
            <w:r>
              <w:t>Hypertension / Cardioprotection</w:t>
            </w:r>
          </w:p>
        </w:tc>
      </w:tr>
      <w:tr>
        <w:tc>
          <w:tcPr>
            <w:tcW w:type="dxa" w:w="3135"/>
          </w:tcPr>
          <w:p>
            <w:r>
              <w:t>Aspirin 75mg</w:t>
            </w:r>
          </w:p>
        </w:tc>
        <w:tc>
          <w:tcPr>
            <w:tcW w:type="dxa" w:w="3135"/>
          </w:tcPr>
          <w:p>
            <w:r>
              <w:t>75mg OD</w:t>
            </w:r>
          </w:p>
        </w:tc>
        <w:tc>
          <w:tcPr>
            <w:tcW w:type="dxa" w:w="3135"/>
          </w:tcPr>
          <w:p>
            <w:r>
              <w:t>Antiplatelet</w:t>
            </w:r>
          </w:p>
        </w:tc>
      </w:tr>
      <w:tr>
        <w:tc>
          <w:tcPr>
            <w:tcW w:type="dxa" w:w="3135"/>
          </w:tcPr>
          <w:p>
            <w:r>
              <w:t>Metformin 500mg</w:t>
            </w:r>
          </w:p>
        </w:tc>
        <w:tc>
          <w:tcPr>
            <w:tcW w:type="dxa" w:w="3135"/>
          </w:tcPr>
          <w:p>
            <w:r>
              <w:t>500mg BD</w:t>
            </w:r>
          </w:p>
        </w:tc>
        <w:tc>
          <w:tcPr>
            <w:tcW w:type="dxa" w:w="3135"/>
          </w:tcPr>
          <w:p>
            <w:r>
              <w:t>T2DM</w:t>
            </w:r>
          </w:p>
        </w:tc>
      </w:tr>
      <w:tr>
        <w:tc>
          <w:tcPr>
            <w:tcW w:type="dxa" w:w="3135"/>
          </w:tcPr>
          <w:p>
            <w:r>
              <w:t>Tamsulosin 0.4mg</w:t>
            </w:r>
          </w:p>
        </w:tc>
        <w:tc>
          <w:tcPr>
            <w:tcW w:type="dxa" w:w="3135"/>
          </w:tcPr>
          <w:p>
            <w:r>
              <w:t>0.4mg OD</w:t>
            </w:r>
          </w:p>
        </w:tc>
        <w:tc>
          <w:tcPr>
            <w:tcW w:type="dxa" w:w="3135"/>
          </w:tcPr>
          <w:p>
            <w:r>
              <w:t>BPH</w:t>
            </w:r>
          </w:p>
        </w:tc>
      </w:tr>
      <w:tr>
        <w:tc>
          <w:tcPr>
            <w:tcW w:type="dxa" w:w="3135"/>
          </w:tcPr>
          <w:p>
            <w:r>
              <w:t>Tiotropium inhaler</w:t>
            </w:r>
          </w:p>
        </w:tc>
        <w:tc>
          <w:tcPr>
            <w:tcW w:type="dxa" w:w="3135"/>
          </w:tcPr>
          <w:p>
            <w:r>
              <w:t>18µg OD</w:t>
            </w:r>
          </w:p>
        </w:tc>
        <w:tc>
          <w:tcPr>
            <w:tcW w:type="dxa" w:w="3135"/>
          </w:tcPr>
          <w:p>
            <w:r>
              <w:t>COPD</w:t>
            </w:r>
          </w:p>
        </w:tc>
      </w:tr>
      <w:tr>
        <w:tc>
          <w:tcPr>
            <w:tcW w:type="dxa" w:w="3135"/>
          </w:tcPr>
          <w:p>
            <w:r>
              <w:t>Cardivex 10mg (Study)</w:t>
            </w:r>
          </w:p>
        </w:tc>
        <w:tc>
          <w:tcPr>
            <w:tcW w:type="dxa" w:w="3135"/>
          </w:tcPr>
          <w:p>
            <w:r>
              <w:t>10mg OD</w:t>
            </w:r>
          </w:p>
        </w:tc>
        <w:tc>
          <w:tcPr>
            <w:tcW w:type="dxa" w:w="3135"/>
          </w:tcPr>
          <w:p>
            <w:r>
              <w:t>Study drug</w:t>
            </w:r>
          </w:p>
        </w:tc>
      </w:tr>
    </w:tbl>
    <w:p/>
    <w:p>
      <w:pPr>
        <w:pStyle w:val="Heading2"/>
      </w:pPr>
      <w:r>
        <w:t>D. Event Description — Detailed Narrative</w:t>
      </w:r>
    </w:p>
    <w:p>
      <w:r>
        <w:rPr>
          <w:b w:val="0"/>
          <w:i w:val="0"/>
        </w:rPr>
        <w:t>On 21 March 2024 (Day 128 of treatment), the patient, Mr. Suresh Balakrishnan Iyer (58M, 72 kg), presented to the Emergency Department of KEM Hospital, Mumbai at 09:15 hrs with a 3-day history of progressively worsening bilateral lower limb weakness, difficulty rising from a sitting position, and inability to climb stairs. He reported dark brown (cola-coloured) urine since the morning of 21 March 2024. He denied any fever, joint pain, trauma, or recent vigorous exercise.</w:t>
        <w:br/>
        <w:br/>
        <w:t>On examination, the patient was haemodynamically stable. There was marked proximal muscle weakness in bilateral lower limbs (MRC Grade 3/5). No skin rashes or arthritis noted. Urine dipstick showed 3+ blood with no red blood cells on microscopy — consistent with myoglobinuria.</w:t>
        <w:br/>
        <w:br/>
        <w:t>EMERGENCY INVESTIGATIONS (21 March 2024):</w:t>
        <w:br/>
        <w:t>- Serum Creatine Kinase (CK): 12,400 U/L (Normal: &lt; 200 U/L) — 62× upper limit of normal</w:t>
        <w:br/>
        <w:t>- Serum Creatinine: 2.1 mg/dL (Baseline at Screening: 0.98 mg/dL) — Acute Kidney Injury</w:t>
        <w:br/>
        <w:t>- ALT: 312 U/L (HIGH), AST: 278 U/L (HIGH)</w:t>
        <w:br/>
        <w:t>- Serum Myoglobin: 8,200 ng/mL (Normal: &lt; 90 ng/mL)</w:t>
        <w:br/>
        <w:t>- eGFR: 31 mL/min/1.73m² (Baseline: 84 mL/min/1.73m²)</w:t>
        <w:br/>
        <w:t>- Blood Urea: 68 mg/dL (HIGH)</w:t>
        <w:br/>
        <w:t>- Urine Myoglobin: Positive (strongly)</w:t>
        <w:br/>
        <w:t>- Electrolytes: K+ 5.4 mEq/L (mildly elevated — risk of arrhythmia)</w:t>
        <w:br/>
        <w:t>- ECG: Sinus rhythm, peaked T waves in precordial leads (hyperkalaemia pattern)</w:t>
        <w:br/>
        <w:br/>
        <w:t>DIAGNOSIS: Statin-induced Rhabdomyolysis with Acute Kidney Injury (AKI) — classified as Hospitalisation Required (Serious) per ICH E2A criteria.</w:t>
        <w:br/>
        <w:br/>
        <w:t>CLINICAL COURSE:</w:t>
        <w:br/>
        <w:t>Day 1 (21 March): Study drug Cardivex 10mg immediately discontinued by PI. Patient admitted to Medical ICU. Aggressive IV hydration initiated (0.9% NaCl at 200 mL/hour). Urinary catheter placed — output monitored hourly. All nephrotoxic medications (Ramipril) withheld. Aspirin and Metformin continued.</w:t>
        <w:br/>
        <w:br/>
        <w:t>Day 3 (23 March): CK trending down — 7,800 U/L. Urine output improving (&gt;1 mL/kg/hour). Creatinine still elevated at 1.9 mg/dL. Patient transferred from ICU to general ward. Muscle weakness improving.</w:t>
        <w:br/>
        <w:br/>
        <w:t>Day 5 (25 March): CK 2,100 U/L. Creatinine 1.4 mg/dL. Urine colour returning to normal. Patient ambulatory with assistance.</w:t>
        <w:br/>
        <w:br/>
        <w:t>Day 8 (28 March): CK 380 U/L (approaching normal). Creatinine 1.1 mg/dL (near baseline). Patient discharged. Residual mild proximal muscle weakness noted at discharge — physiotherapy prescribed.</w:t>
        <w:br/>
        <w:br/>
        <w:t>CAUSALITY ASSESSMENT:</w:t>
        <w:br/>
        <w:t>The treating physician (Dr. Anand Mehta) and Sponsor Medical Monitor (Dr. Rohit Agarwal, MD) assessed causality as PROBABLE based on:</w:t>
        <w:br/>
        <w:t>(1) Temporal relationship — event onset after 128 days of therapy with dose-consistent pattern</w:t>
        <w:br/>
        <w:t>(2) Positive dechallenge — marked improvement after drug withdrawal</w:t>
        <w:br/>
        <w:t>(3) No alternative explanation — no trauma, alcohol excess, or other causative drugs</w:t>
        <w:br/>
        <w:t>(4) Known class effect — statin-induced rhabdomyolysis is a well-documented adverse drug reaction</w:t>
        <w:br/>
        <w:t>(5) Lack of rechallenge (not attempted for patient safety reasons)</w:t>
        <w:br/>
        <w:br/>
        <w:t>SERIOUSNESS CRITERIA (ICH E2A): Hospitalisation Required ✓ | Life-Threatening ✗ | Fatal ✗ | Persistent Disability ✗ | Congenital Anomaly ✗</w:t>
        <w:br/>
        <w:br/>
        <w:t>REGULATORY HISTORY OF DRUG: Atorvastatin (active moiety of Cardivex) has 14 reported cases of rhabdomyolysis in FDA FAERS database. This is the first such case in the PSI-CV-2023-01 study. No previous safety signal identified in interim safety monitoring.</w:t>
        <w:br/>
        <w:br/>
        <w:t>ACTIONS TAKEN:</w:t>
        <w:br/>
        <w:t>1. Study drug permanently discontinued (21 March 2024)</w:t>
        <w:br/>
        <w:t>2. DSMB notified on 21 March 2024 (same day)</w:t>
        <w:br/>
        <w:t>3. All active study sites in India notified of potential signal via safety letter dated 23 March 2024</w:t>
        <w:br/>
        <w:t>4. Protocol amendment proposed — CK monitoring to be added at monthly visits</w:t>
        <w:br/>
        <w:t>5. IB to be updated with enhanced rhabdomyolysis warning</w:t>
        <w:br/>
        <w:br/>
        <w:t>OUTCOME: Recovering — residual mild weakness at time of discharge. 30-day follow-up planned (20 April 2024).</w:t>
        <w:br/>
        <w:t>FOLLOW-UP REPORT: Due within 15 days with 30-day CK and renal function results.</w:t>
      </w:r>
    </w:p>
    <w:p/>
    <w:p>
      <w:pPr>
        <w:pStyle w:val="Heading2"/>
      </w:pPr>
      <w:r>
        <w:t>E. Regulatory Information</w:t>
      </w:r>
    </w:p>
    <w:p>
      <w:r>
        <w:rPr>
          <w:b/>
          <w:sz w:val="20"/>
        </w:rPr>
        <w:t xml:space="preserve">Report Type: </w:t>
      </w:r>
      <w:r>
        <w:rPr>
          <w:sz w:val="20"/>
        </w:rPr>
        <w:t>7-Day Expedited (Serious Unexpected Suspected ADR — SUSAR)</w:t>
      </w:r>
    </w:p>
    <w:p>
      <w:r>
        <w:rPr>
          <w:b/>
          <w:sz w:val="20"/>
        </w:rPr>
        <w:t xml:space="preserve">Listedness: </w:t>
      </w:r>
      <w:r>
        <w:rPr>
          <w:sz w:val="20"/>
        </w:rPr>
        <w:t>Unlisted — Rhabdomyolysis not in current IB (v5.0)</w:t>
      </w:r>
    </w:p>
    <w:p>
      <w:r>
        <w:rPr>
          <w:b/>
          <w:sz w:val="20"/>
        </w:rPr>
        <w:t xml:space="preserve">Expectedness: </w:t>
      </w:r>
      <w:r>
        <w:rPr>
          <w:sz w:val="20"/>
        </w:rPr>
        <w:t>Unexpected in context of this study</w:t>
      </w:r>
    </w:p>
    <w:p>
      <w:r>
        <w:rPr>
          <w:b/>
          <w:sz w:val="20"/>
        </w:rPr>
        <w:t xml:space="preserve">Previous Similar SAEs: </w:t>
      </w:r>
      <w:r>
        <w:rPr>
          <w:sz w:val="20"/>
        </w:rPr>
        <w:t>None in this study. 1 case of mild myalgia (non-serious) reported in March 2024.</w:t>
      </w:r>
    </w:p>
    <w:p>
      <w:r>
        <w:rPr>
          <w:b/>
          <w:sz w:val="20"/>
        </w:rPr>
        <w:t xml:space="preserve">DSMB Review: </w:t>
      </w:r>
      <w:r>
        <w:rPr>
          <w:sz w:val="20"/>
        </w:rPr>
        <w:t>Emergency session called 22 March 2024 — decision to continue study with enhanced monitoring</w:t>
      </w:r>
    </w:p>
    <w:p/>
    <w:p>
      <w:pPr>
        <w:pBdr>
          <w:bottom w:val="single" w:sz="6" w:space="1" w:color="999999"/>
        </w:pBdr>
      </w:pPr>
    </w:p>
    <w:p>
      <w:r>
        <w:rPr>
          <w:b w:val="0"/>
          <w:i/>
          <w:sz w:val="18"/>
        </w:rPr>
        <w:t>Prepared by: Dr. Neha Srivastava | Head Pharmacovigilance, Pharma Solutions India Pvt. Ltd.</w:t>
      </w:r>
    </w:p>
    <w:p>
      <w:r>
        <w:rPr>
          <w:b w:val="0"/>
          <w:i/>
          <w:sz w:val="18"/>
        </w:rPr>
        <w:t>Verified by: Dr. Rohit Agarwal, MD | Medical Monitor | Date: 28 March 2024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