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D7A"/>
        </w:rPr>
        <w:t>CENTRAL DRUGS STANDARD CONTROL ORGANISATION</w:t>
      </w:r>
    </w:p>
    <w:p>
      <w:pPr>
        <w:pStyle w:val="Heading2"/>
      </w:pPr>
      <w:r>
        <w:t>TECHNICAL EXPERT COMMITTEE — ONCOLOGY &amp; HAEMATOLOGY</w:t>
      </w:r>
    </w:p>
    <w:p>
      <w:r>
        <w:rPr>
          <w:b/>
          <w:i w:val="0"/>
        </w:rPr>
        <w:t>MINUTES OF MEETING — 52nd Session</w:t>
      </w:r>
    </w:p>
    <w:p>
      <w:pPr>
        <w:pBdr>
          <w:bottom w:val="single" w:sz="6" w:space="1" w:color="999999"/>
        </w:pBdr>
      </w:pPr>
    </w:p>
    <w:p>
      <w:r>
        <w:rPr>
          <w:b/>
          <w:sz w:val="20"/>
        </w:rPr>
        <w:t xml:space="preserve">Date &amp; Time: </w:t>
      </w:r>
      <w:r>
        <w:rPr>
          <w:sz w:val="20"/>
        </w:rPr>
        <w:t>15 April 2024, 10:00 AM — 4:30 PM</w:t>
      </w:r>
    </w:p>
    <w:p>
      <w:r>
        <w:rPr>
          <w:b/>
          <w:sz w:val="20"/>
        </w:rPr>
        <w:t xml:space="preserve">Venue: </w:t>
      </w:r>
      <w:r>
        <w:rPr>
          <w:sz w:val="20"/>
        </w:rPr>
        <w:t>Committee Room No. 2, CDSCO Headquarters, Kotla Road, New Delhi — 110002</w:t>
      </w:r>
    </w:p>
    <w:p>
      <w:r>
        <w:rPr>
          <w:b/>
          <w:sz w:val="20"/>
        </w:rPr>
        <w:t xml:space="preserve">Chairperson: </w:t>
      </w:r>
      <w:r>
        <w:rPr>
          <w:sz w:val="20"/>
        </w:rPr>
        <w:t>Dr. V.G. Somani, Drugs Controller General of India (DCG(I))</w:t>
      </w:r>
    </w:p>
    <w:p>
      <w:r>
        <w:rPr>
          <w:b/>
          <w:sz w:val="20"/>
        </w:rPr>
        <w:t xml:space="preserve">Minutes By: </w:t>
      </w:r>
      <w:r>
        <w:rPr>
          <w:sz w:val="20"/>
        </w:rPr>
        <w:t>Mr. Ashish Verma, Section Officer, CDSCO</w:t>
      </w:r>
    </w:p>
    <w:p/>
    <w:p>
      <w:pPr>
        <w:pStyle w:val="Heading3"/>
      </w:pPr>
      <w:r>
        <w:t>Members Present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t>Name</w:t>
            </w:r>
          </w:p>
        </w:tc>
        <w:tc>
          <w:tcPr>
            <w:tcW w:type="dxa" w:w="3135"/>
            <w:shd w:val="clear" w:color="auto" w:fill="D6E4F0"/>
          </w:tcPr>
          <w:p>
            <w:r>
              <w:rPr>
                <w:b/>
              </w:rPr>
              <w:t>Designation</w:t>
            </w:r>
          </w:p>
        </w:tc>
        <w:tc>
          <w:tcPr>
            <w:tcW w:type="dxa" w:w="3135"/>
            <w:shd w:val="clear" w:color="auto" w:fill="D6E4F0"/>
          </w:tcPr>
          <w:p>
            <w:r>
              <w:rPr>
                <w:b/>
              </w:rPr>
            </w:r>
          </w:p>
        </w:tc>
      </w:tr>
      <w:tr>
        <w:tc>
          <w:tcPr>
            <w:tcW w:type="dxa" w:w="3135"/>
          </w:tcPr>
          <w:p>
            <w:r>
              <w:t>Dr. V.G. Somani</w:t>
            </w:r>
          </w:p>
        </w:tc>
        <w:tc>
          <w:tcPr>
            <w:tcW w:type="dxa" w:w="3135"/>
          </w:tcPr>
          <w:p>
            <w:r>
              <w:t>DCG(I) — Chairperson</w:t>
            </w:r>
          </w:p>
        </w:tc>
        <w:tc>
          <w:tcPr>
            <w:tcW w:type="dxa" w:w="3135"/>
          </w:tcPr>
          <w:p/>
        </w:tc>
      </w:tr>
      <w:tr>
        <w:tc>
          <w:tcPr>
            <w:tcW w:type="dxa" w:w="3135"/>
          </w:tcPr>
          <w:p>
            <w:r>
              <w:t>Dr. Rajesh Bhatia</w:t>
            </w:r>
          </w:p>
        </w:tc>
        <w:tc>
          <w:tcPr>
            <w:tcW w:type="dxa" w:w="3135"/>
          </w:tcPr>
          <w:p>
            <w:r>
              <w:t>Professor of Medical Oncology, AIIMS New Delhi — Domain Expert</w:t>
            </w:r>
          </w:p>
        </w:tc>
        <w:tc>
          <w:tcPr>
            <w:tcW w:type="dxa" w:w="3135"/>
          </w:tcPr>
          <w:p/>
        </w:tc>
      </w:tr>
      <w:tr>
        <w:tc>
          <w:tcPr>
            <w:tcW w:type="dxa" w:w="3135"/>
          </w:tcPr>
          <w:p>
            <w:r>
              <w:t>Dr. Meena Rao</w:t>
            </w:r>
          </w:p>
        </w:tc>
        <w:tc>
          <w:tcPr>
            <w:tcW w:type="dxa" w:w="3135"/>
          </w:tcPr>
          <w:p>
            <w:r>
              <w:t>Head, Department of Pharmacology, CMC Vellore — Pharmacologist</w:t>
            </w:r>
          </w:p>
        </w:tc>
        <w:tc>
          <w:tcPr>
            <w:tcW w:type="dxa" w:w="3135"/>
          </w:tcPr>
          <w:p/>
        </w:tc>
      </w:tr>
      <w:tr>
        <w:tc>
          <w:tcPr>
            <w:tcW w:type="dxa" w:w="3135"/>
          </w:tcPr>
          <w:p>
            <w:r>
              <w:t>Dr. Sunil Kapoor</w:t>
            </w:r>
          </w:p>
        </w:tc>
        <w:tc>
          <w:tcPr>
            <w:tcW w:type="dxa" w:w="3135"/>
          </w:tcPr>
          <w:p>
            <w:r>
              <w:t>Senior Consultant, Haematology, PGI Chandigarh — Clinician</w:t>
            </w:r>
          </w:p>
        </w:tc>
        <w:tc>
          <w:tcPr>
            <w:tcW w:type="dxa" w:w="3135"/>
          </w:tcPr>
          <w:p/>
        </w:tc>
      </w:tr>
      <w:tr>
        <w:tc>
          <w:tcPr>
            <w:tcW w:type="dxa" w:w="3135"/>
          </w:tcPr>
          <w:p>
            <w:r>
              <w:t>Dr. Anita Singh</w:t>
            </w:r>
          </w:p>
        </w:tc>
        <w:tc>
          <w:tcPr>
            <w:tcW w:type="dxa" w:w="3135"/>
          </w:tcPr>
          <w:p>
            <w:r>
              <w:t>Joint Drugs Controller (JDC), CDSCO — Regulatory Expert</w:t>
            </w:r>
          </w:p>
        </w:tc>
        <w:tc>
          <w:tcPr>
            <w:tcW w:type="dxa" w:w="3135"/>
          </w:tcPr>
          <w:p/>
        </w:tc>
      </w:tr>
      <w:tr>
        <w:tc>
          <w:tcPr>
            <w:tcW w:type="dxa" w:w="3135"/>
          </w:tcPr>
          <w:p>
            <w:r>
              <w:t>Dr. Prashant Gupta</w:t>
            </w:r>
          </w:p>
        </w:tc>
        <w:tc>
          <w:tcPr>
            <w:tcW w:type="dxa" w:w="3135"/>
          </w:tcPr>
          <w:p>
            <w:r>
              <w:t>Additional Drugs Controller (ADC) — Oncology Division</w:t>
            </w:r>
          </w:p>
        </w:tc>
        <w:tc>
          <w:tcPr>
            <w:tcW w:type="dxa" w:w="3135"/>
          </w:tcPr>
          <w:p/>
        </w:tc>
      </w:tr>
      <w:tr>
        <w:tc>
          <w:tcPr>
            <w:tcW w:type="dxa" w:w="3135"/>
          </w:tcPr>
          <w:p>
            <w:r>
              <w:t>Dr. Kavitha Nair</w:t>
            </w:r>
          </w:p>
        </w:tc>
        <w:tc>
          <w:tcPr>
            <w:tcW w:type="dxa" w:w="3135"/>
          </w:tcPr>
          <w:p>
            <w:r>
              <w:t>Deputy Drugs Controller — Biologic Medicines</w:t>
            </w:r>
          </w:p>
        </w:tc>
        <w:tc>
          <w:tcPr>
            <w:tcW w:type="dxa" w:w="3135"/>
          </w:tcPr>
          <w:p/>
        </w:tc>
      </w:tr>
      <w:tr>
        <w:tc>
          <w:tcPr>
            <w:tcW w:type="dxa" w:w="3135"/>
          </w:tcPr>
          <w:p>
            <w:r>
              <w:t>Mr. Jayant Mishra</w:t>
            </w:r>
          </w:p>
        </w:tc>
        <w:tc>
          <w:tcPr>
            <w:tcW w:type="dxa" w:w="3135"/>
          </w:tcPr>
          <w:p>
            <w:r>
              <w:t>Legal Adviser, Ministry of Health &amp; Family Welfare</w:t>
            </w:r>
          </w:p>
        </w:tc>
        <w:tc>
          <w:tcPr>
            <w:tcW w:type="dxa" w:w="3135"/>
          </w:tcPr>
          <w:p/>
        </w:tc>
      </w:tr>
      <w:tr>
        <w:tc>
          <w:tcPr>
            <w:tcW w:type="dxa" w:w="3135"/>
          </w:tcPr>
          <w:p>
            <w:r>
              <w:t>Dr. Sanjay Chandrasekhar</w:t>
            </w:r>
          </w:p>
        </w:tc>
        <w:tc>
          <w:tcPr>
            <w:tcW w:type="dxa" w:w="3135"/>
          </w:tcPr>
          <w:p>
            <w:r>
              <w:t>Industry Representative — OPPI (non-voting)</w:t>
            </w:r>
          </w:p>
        </w:tc>
        <w:tc>
          <w:tcPr>
            <w:tcW w:type="dxa" w:w="3135"/>
          </w:tcPr>
          <w:p/>
        </w:tc>
      </w:tr>
    </w:tbl>
    <w:p>
      <w:pPr>
        <w:pStyle w:val="Heading3"/>
      </w:pPr>
      <w:r>
        <w:t>Members Absent (with apology)</w:t>
      </w:r>
    </w:p>
    <w:p>
      <w:pPr>
        <w:pStyle w:val="ListBullet"/>
      </w:pPr>
      <w:r>
        <w:t>Dr. H.G. Koshia (former DCG(I)) — Personal reasons</w:t>
      </w:r>
    </w:p>
    <w:p>
      <w:pPr>
        <w:pStyle w:val="ListBullet"/>
      </w:pPr>
      <w:r>
        <w:t>Dr. Shobha Bhatt (Paediatric Oncology, TATA Memorial) — Conference abroad</w:t>
      </w:r>
    </w:p>
    <w:p/>
    <w:p>
      <w:pPr>
        <w:pBdr>
          <w:bottom w:val="single" w:sz="6" w:space="1" w:color="999999"/>
        </w:pBdr>
      </w:pPr>
    </w:p>
    <w:p>
      <w:pPr>
        <w:pStyle w:val="Heading2"/>
      </w:pPr>
      <w:r>
        <w:t>AGENDA ITEM 1: Application for Expanded Indication of Pembrolizumab (Keytruda®) — MSD Pharmaceuticals</w:t>
      </w:r>
    </w:p>
    <w:p>
      <w:r>
        <w:rPr>
          <w:b w:val="0"/>
          <w:i/>
        </w:rPr>
        <w:t>Application Reference: NDA/2023/MSD/0089 | Applicant: MSD Pharmaceuticals India Pvt. Ltd.</w:t>
        <w:br/>
        <w:t>Indication Sought: First-line treatment of metastatic non-small cell lung cancer (mNSCLC) without EGFR/ALK alterations, PD-L1 TPS ≥ 1%</w:t>
      </w:r>
    </w:p>
    <w:p/>
    <w:p>
      <w:r>
        <w:rPr>
          <w:b/>
          <w:i w:val="0"/>
        </w:rPr>
        <w:t>10:10 AM — Presentation by MSD Medical Director, Dr. Siddharth Mehrotra (MSD):</w:t>
      </w:r>
    </w:p>
    <w:p>
      <w:r>
        <w:rPr>
          <w:b w:val="0"/>
          <w:i w:val="0"/>
        </w:rPr>
        <w:t>Dr. Mehrotra presented data from KEYNOTE-024 and KEYNOTE-189 studies. Global data includes 2,843 patients across 189 sites in 32 countries. PFS improved from 6.0 months (chemotherapy) to 10.3 months (pembrolizumab, HR 0.50). OS benefit: 26.3 months vs 14.2 months. AE profile: 27.3% Grade 3-4 irAEs, manageable with standard protocols. FDA approved this indication in 2016; EMA in 2017. Pembrolizumab already approved in India for second-line NSCLC (2021).</w:t>
      </w:r>
    </w:p>
    <w:p>
      <w:r>
        <w:rPr>
          <w:b/>
          <w:i w:val="0"/>
        </w:rPr>
        <w:br/>
        <w:t>10:45 AM — Questions from Committee:</w:t>
      </w:r>
    </w:p>
    <w:p>
      <w:r>
        <w:rPr>
          <w:b/>
          <w:i w:val="0"/>
        </w:rPr>
        <w:br/>
        <w:t>Dr. Rajesh Bhatia:</w:t>
      </w:r>
    </w:p>
    <w:p>
      <w:r>
        <w:rPr>
          <w:b w:val="0"/>
          <w:i/>
        </w:rPr>
        <w:t>Question: Indian patient data is insufficient. KEYNOTE-189 enrolled only 47 Indian patients out of 616 total (7.6%). Indian patients have different risk factors — higher proportion of non-smokers, different EGFR mutation profile. We cannot extrapolate Western data directly. Additionally, PD-L1 testing infrastructure at Indian tier-2/3 hospitals is inadequate — what is the plan?</w:t>
      </w:r>
    </w:p>
    <w:p>
      <w:r>
        <w:rPr>
          <w:b w:val="0"/>
          <w:i w:val="0"/>
        </w:rPr>
        <w:t>Response: Dr. Mehrotra: Indian sub-group analysis shows HR of 0.52 (95% CI: 0.28–0.96), consistent with global data. Regarding PD-L1 testing — MSD commits to partnering with 200 government hospitals to establish testing capacity within 12 months of approval. We also propose a pharmacovigilance registry to collect Indian-specific real-world data.</w:t>
      </w:r>
    </w:p>
    <w:p>
      <w:r>
        <w:rPr>
          <w:b/>
          <w:i w:val="0"/>
        </w:rPr>
        <w:br/>
        <w:t>Dr. Meena Rao:</w:t>
      </w:r>
    </w:p>
    <w:p>
      <w:r>
        <w:rPr>
          <w:b w:val="0"/>
          <w:i/>
        </w:rPr>
        <w:t>Question: The drug mechanism — PD-1 checkpoint inhibitor — carries risk of immune-mediated adverse events including pneumonitis, colitis, hepatitis. Indian population has higher TB burden. Is there data on safety in latent TB patients? ART drug interactions?</w:t>
      </w:r>
    </w:p>
    <w:p>
      <w:r>
        <w:rPr>
          <w:b w:val="0"/>
          <w:i w:val="0"/>
        </w:rPr>
        <w:t>Response: Dr. Mehrotra: TB was an exclusion in KEYNOTE studies. However, real-world data from South Korea and Taiwan (similar TB burden) shows no significant increase in TB reactivation. We propose mandatory TB screening before initiation. No known PK interactions with standard anti-TB drugs — no CYP450 involvement for pembrolizumab.</w:t>
      </w:r>
    </w:p>
    <w:p>
      <w:r>
        <w:rPr>
          <w:b/>
          <w:i w:val="0"/>
        </w:rPr>
        <w:br/>
        <w:t>Dr. Sunil Kapoor:</w:t>
      </w:r>
    </w:p>
    <w:p>
      <w:r>
        <w:rPr>
          <w:b w:val="0"/>
          <w:i/>
        </w:rPr>
        <w:t>Question: Cost is a major concern. At current MRP of ₹1,83,000 per vial, a full course costs ₹40–80 lakhs. This is inaccessible to 95% of Indian patients. Has the company considered differential pricing or patient assistance programmes?</w:t>
      </w:r>
    </w:p>
    <w:p>
      <w:r>
        <w:rPr>
          <w:b w:val="0"/>
          <w:i w:val="0"/>
        </w:rPr>
        <w:t>Response: Dr. Sanjay Chandrasekhar (OPPI): Industry cannot comment on pricing in a regulatory meeting. However, MSD has an existing patient access programme — Keytruda PAP — providing free drug to BPL patients. Government may negotiate pricing under DPCO.</w:t>
      </w:r>
    </w:p>
    <w:p>
      <w:r>
        <w:rPr>
          <w:b/>
          <w:i w:val="0"/>
        </w:rPr>
        <w:br/>
        <w:t>Dr. Anita Singh:</w:t>
      </w:r>
    </w:p>
    <w:p>
      <w:r>
        <w:rPr>
          <w:b w:val="0"/>
          <w:i/>
        </w:rPr>
        <w:t>Question: Under New Drugs Rules 2019, for drugs with global approval &gt; 4 years and Indian data deficiency, we can mandate a post-approval commitment. I recommend: (1) Mandatory enrolment of 500 Indian patients in registry, (2) Annual PSUR submission, (3) Risk Management Plan with TB screening protocol.</w:t>
      </w:r>
    </w:p>
    <w:p>
      <w:r>
        <w:rPr>
          <w:b w:val="0"/>
          <w:i w:val="0"/>
        </w:rPr>
        <w:t>Response: Committee agreed this is the appropriate regulatory pathway.</w:t>
      </w:r>
    </w:p>
    <w:p>
      <w:r>
        <w:rPr>
          <w:b/>
          <w:i w:val="0"/>
        </w:rPr>
        <w:br/>
        <w:t>12:30 PM — Committee Deliberation (closed session):</w:t>
      </w:r>
    </w:p>
    <w:p>
      <w:r>
        <w:rPr>
          <w:b w:val="0"/>
          <w:i w:val="0"/>
        </w:rPr>
        <w:t>The committee deliberated for 45 minutes. Points raised: adequacy of Indian data, PD-L1 testing infrastructure gaps, cost accessibility, risk of immune-mediated adverse events in Indian population with higher infectious disease burden.</w:t>
      </w:r>
    </w:p>
    <w:p>
      <w:r>
        <w:rPr>
          <w:b/>
          <w:i w:val="0"/>
          <w:color w:val="006400"/>
        </w:rPr>
        <w:br/>
        <w:t>DECISION — Agenda Item 1:</w:t>
      </w:r>
    </w:p>
    <w:p>
      <w:pPr>
        <w:pStyle w:val="ListBullet"/>
      </w:pPr>
      <w:r>
        <w:t>RECOMMENDATION: CONDITIONAL APPROVAL — Approved for first-line mNSCLC with PD-L1 TPS ≥ 50% (more restrictive than applied indication of ≥ 1%)</w:t>
      </w:r>
    </w:p>
    <w:p>
      <w:pPr>
        <w:pStyle w:val="ListBullet"/>
      </w:pPr>
      <w:r>
        <w:t>Condition 1: Post-marketing pharmacovigilance registry — minimum 500 Indian patients, annual data submission to CDSCO for 5 years</w:t>
      </w:r>
    </w:p>
    <w:p>
      <w:pPr>
        <w:pStyle w:val="ListBullet"/>
      </w:pPr>
      <w:r>
        <w:t>Condition 2: Indian-specific PK/PD study in 100 patients — to be submitted within 24 months</w:t>
      </w:r>
    </w:p>
    <w:p>
      <w:pPr>
        <w:pStyle w:val="ListBullet"/>
      </w:pPr>
      <w:r>
        <w:t>Condition 3: Risk Minimisation Action Plan (RiMAP) including mandatory TB screening before initiation — to be submitted within 30 days</w:t>
      </w:r>
    </w:p>
    <w:p>
      <w:pPr>
        <w:pStyle w:val="ListBullet"/>
      </w:pPr>
      <w:r>
        <w:t>Condition 4: Patient access programme mandatory — free drug for BPL patients (income &lt; ₹3 lakh/year)</w:t>
      </w:r>
    </w:p>
    <w:p>
      <w:pPr>
        <w:pStyle w:val="ListBullet"/>
      </w:pPr>
      <w:r>
        <w:t>Condition 5: Prescribing restricted to oncologists at NABH-accredited centres with immunotherapy management capability</w:t>
      </w:r>
    </w:p>
    <w:p>
      <w:pPr>
        <w:pStyle w:val="ListBullet"/>
      </w:pPr>
      <w:r>
        <w:t>Label must include specific warning about TB reactivation risk</w:t>
      </w:r>
    </w:p>
    <w:p/>
    <w:p>
      <w:pPr>
        <w:pBdr>
          <w:bottom w:val="single" w:sz="6" w:space="1" w:color="999999"/>
        </w:pBdr>
      </w:pPr>
    </w:p>
    <w:p>
      <w:pPr>
        <w:pStyle w:val="Heading2"/>
      </w:pPr>
      <w:r>
        <w:t>AGENDA ITEM 2: Proposal — Relaxed Phase III Requirements for Rare Cancers (Orphan Drug Policy)</w:t>
      </w:r>
    </w:p>
    <w:p>
      <w:r>
        <w:rPr>
          <w:b w:val="0"/>
          <w:i/>
        </w:rPr>
        <w:t>Presented by: Dr. Anita Singh (CDSCO) | Based on draft policy prepared by Oncology Division</w:t>
      </w:r>
    </w:p>
    <w:p>
      <w:r>
        <w:rPr>
          <w:b/>
          <w:i w:val="0"/>
        </w:rPr>
        <w:br/>
        <w:t>1:30 PM — Presentation:</w:t>
      </w:r>
    </w:p>
    <w:p>
      <w:r>
        <w:rPr>
          <w:b w:val="0"/>
          <w:i w:val="0"/>
        </w:rPr>
        <w:t>CDSCO proposes aligning with US Orphan Drug Act framework. Currently, all drugs require Phase III data regardless of disease prevalence. For conditions affecting &lt; 1 in 10,000 population (rare cancers — e.g., cholangiocarcinoma, thymic carcinoma, SMARCB1-deficient tumours), conducting Phase III RCTs is impossible due to patient numbers. Proposed framework: Phase II single-arm data with validated biomarker endpoints (ORR, DoR) may be sufficient for Accelerated Approval with mandatory post-marketing confirmatory trials.</w:t>
      </w:r>
    </w:p>
    <w:p>
      <w:r>
        <w:rPr>
          <w:b/>
          <w:i w:val="0"/>
        </w:rPr>
        <w:br/>
        <w:t>2:15 PM — Discussion:</w:t>
      </w:r>
    </w:p>
    <w:p>
      <w:r>
        <w:rPr>
          <w:b w:val="0"/>
          <w:i w:val="0"/>
        </w:rPr>
        <w:t>Dr. Bhatia raised concern that many rare cancer drugs entering with Phase II data have failed confirmatory trials (e.g., accelerated approvals withdrawn by FDA in 2022). The committee agreed that robust surrogate endpoints and mandatory confirmatory trial timelines are essential safeguards.</w:t>
      </w:r>
    </w:p>
    <w:p>
      <w:r>
        <w:rPr>
          <w:b/>
          <w:i w:val="0"/>
          <w:color w:val="006400"/>
        </w:rPr>
        <w:br/>
        <w:t>DECISION — Agenda Item 2:</w:t>
      </w:r>
    </w:p>
    <w:p>
      <w:pPr>
        <w:pStyle w:val="ListBullet"/>
      </w:pPr>
      <w:r>
        <w:t>In-principle agreement to develop Rare Cancer Accelerated Approval pathway</w:t>
      </w:r>
    </w:p>
    <w:p>
      <w:pPr>
        <w:pStyle w:val="ListBullet"/>
      </w:pPr>
      <w:r>
        <w:t>Sub-committee constituted: Dr. Bhatia (Chair), Dr. Singh, Dr. Kapoor</w:t>
      </w:r>
    </w:p>
    <w:p>
      <w:pPr>
        <w:pStyle w:val="ListBullet"/>
      </w:pPr>
      <w:r>
        <w:t>Draft guidelines to be prepared by 30 June 2024</w:t>
      </w:r>
    </w:p>
    <w:p>
      <w:pPr>
        <w:pStyle w:val="ListBullet"/>
      </w:pPr>
      <w:r>
        <w:t>Public consultation period: 60 days after draft release</w:t>
      </w:r>
    </w:p>
    <w:p>
      <w:pPr>
        <w:pStyle w:val="ListBullet"/>
      </w:pPr>
      <w:r>
        <w:t>Target: Final guidelines published by 31 December 2024</w:t>
      </w:r>
    </w:p>
    <w:p/>
    <w:p>
      <w:pPr>
        <w:pBdr>
          <w:bottom w:val="single" w:sz="6" w:space="1" w:color="999999"/>
        </w:pBdr>
      </w:pPr>
    </w:p>
    <w:p>
      <w:pPr>
        <w:pStyle w:val="Heading2"/>
      </w:pPr>
      <w:r>
        <w:t>AGENDA ITEM 3: Safety Signal — Durvalumab + Tremelimumab Combination (HIMALAYA Study India Data)</w:t>
      </w:r>
    </w:p>
    <w:p>
      <w:r>
        <w:rPr>
          <w:b w:val="0"/>
          <w:i/>
        </w:rPr>
        <w:t>Presented by: Dr. Kavitha Nair</w:t>
      </w:r>
    </w:p>
    <w:p>
      <w:r>
        <w:rPr>
          <w:b w:val="0"/>
          <w:i w:val="0"/>
        </w:rPr>
        <w:br/>
        <w:t>Dr. Nair presented 6 cases of Grade 4 immune-mediated hepatitis from 3 Indian sites. Global incidence is 3.7% but Indian sites showing 8.9% (suspected underreporting in other sites or genuine ethnic difference). AZ committed to root cause analysis within 45 days.</w:t>
      </w:r>
    </w:p>
    <w:p>
      <w:r>
        <w:rPr>
          <w:b/>
          <w:i w:val="0"/>
          <w:color w:val="006400"/>
        </w:rPr>
        <w:br/>
        <w:t>DECISION — Agenda Item 3:</w:t>
      </w:r>
    </w:p>
    <w:p>
      <w:pPr>
        <w:pStyle w:val="ListBullet"/>
      </w:pPr>
      <w:r>
        <w:t>Urgent Dear Healthcare Professional letter to be issued within 7 days</w:t>
      </w:r>
    </w:p>
    <w:p>
      <w:pPr>
        <w:pStyle w:val="ListBullet"/>
      </w:pPr>
      <w:r>
        <w:t>Enhanced liver function monitoring: LFTs at baseline, Week 2, Week 4, then monthly</w:t>
      </w:r>
    </w:p>
    <w:p>
      <w:pPr>
        <w:pStyle w:val="ListBullet"/>
      </w:pPr>
      <w:r>
        <w:t>AstraZeneca to submit root cause analysis within 45 days</w:t>
      </w:r>
    </w:p>
    <w:p>
      <w:pPr>
        <w:pStyle w:val="ListBullet"/>
      </w:pPr>
      <w:r>
        <w:t>DSMB review of all Indian patients on combination by 30 April 2024</w:t>
      </w:r>
    </w:p>
    <w:p/>
    <w:p>
      <w:pPr>
        <w:pBdr>
          <w:bottom w:val="single" w:sz="6" w:space="1" w:color="999999"/>
        </w:pBdr>
      </w:pPr>
    </w:p>
    <w:p>
      <w:pPr>
        <w:pStyle w:val="Heading2"/>
      </w:pPr>
      <w:r>
        <w:t>ACTION ITEMS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0"/>
          </w:tcPr>
          <w:p>
            <w:r>
              <w:rPr>
                <w:b/>
              </w:rPr>
              <w:t>#</w:t>
            </w:r>
          </w:p>
        </w:tc>
        <w:tc>
          <w:tcPr>
            <w:tcW w:type="dxa" w:w="2351"/>
            <w:shd w:val="clear" w:color="auto" w:fill="D6E4F0"/>
          </w:tcPr>
          <w:p>
            <w:r>
              <w:rPr>
                <w:b/>
              </w:rPr>
              <w:t>Action</w:t>
            </w:r>
          </w:p>
        </w:tc>
        <w:tc>
          <w:tcPr>
            <w:tcW w:type="dxa" w:w="2351"/>
            <w:shd w:val="clear" w:color="auto" w:fill="D6E4F0"/>
          </w:tcPr>
          <w:p>
            <w:r>
              <w:rPr>
                <w:b/>
              </w:rPr>
              <w:t>Owner</w:t>
            </w:r>
          </w:p>
        </w:tc>
        <w:tc>
          <w:tcPr>
            <w:tcW w:type="dxa" w:w="2351"/>
            <w:shd w:val="clear" w:color="auto" w:fill="D6E4F0"/>
          </w:tcPr>
          <w:p>
            <w:r>
              <w:rPr>
                <w:b/>
              </w:rPr>
              <w:t>Deadline</w:t>
            </w:r>
          </w:p>
        </w:tc>
      </w:tr>
      <w:tr>
        <w:tc>
          <w:tcPr>
            <w:tcW w:type="dxa" w:w="2351"/>
          </w:tcPr>
          <w:p>
            <w:r>
              <w:t>1</w:t>
            </w:r>
          </w:p>
        </w:tc>
        <w:tc>
          <w:tcPr>
            <w:tcW w:type="dxa" w:w="2351"/>
          </w:tcPr>
          <w:p>
            <w:r>
              <w:t>Issue RiMAP for Pembrolizumab including TB screening protocol</w:t>
            </w:r>
          </w:p>
        </w:tc>
        <w:tc>
          <w:tcPr>
            <w:tcW w:type="dxa" w:w="2351"/>
          </w:tcPr>
          <w:p>
            <w:r>
              <w:t>MSD Pharmaceuticals</w:t>
            </w:r>
          </w:p>
        </w:tc>
        <w:tc>
          <w:tcPr>
            <w:tcW w:type="dxa" w:w="2351"/>
          </w:tcPr>
          <w:p>
            <w:r>
              <w:t>15 May 2024</w:t>
            </w:r>
          </w:p>
        </w:tc>
      </w:tr>
      <w:tr>
        <w:tc>
          <w:tcPr>
            <w:tcW w:type="dxa" w:w="2351"/>
          </w:tcPr>
          <w:p>
            <w:r>
              <w:t>2</w:t>
            </w:r>
          </w:p>
        </w:tc>
        <w:tc>
          <w:tcPr>
            <w:tcW w:type="dxa" w:w="2351"/>
          </w:tcPr>
          <w:p>
            <w:r>
              <w:t>Issue conditional approval letter for Pembrolizumab</w:t>
            </w:r>
          </w:p>
        </w:tc>
        <w:tc>
          <w:tcPr>
            <w:tcW w:type="dxa" w:w="2351"/>
          </w:tcPr>
          <w:p>
            <w:r>
              <w:t>Dr. Anita Singh / CDSCO</w:t>
            </w:r>
          </w:p>
        </w:tc>
        <w:tc>
          <w:tcPr>
            <w:tcW w:type="dxa" w:w="2351"/>
          </w:tcPr>
          <w:p>
            <w:r>
              <w:t>30 April 2024</w:t>
            </w:r>
          </w:p>
        </w:tc>
      </w:tr>
      <w:tr>
        <w:tc>
          <w:tcPr>
            <w:tcW w:type="dxa" w:w="2351"/>
          </w:tcPr>
          <w:p>
            <w:r>
              <w:t>3</w:t>
            </w:r>
          </w:p>
        </w:tc>
        <w:tc>
          <w:tcPr>
            <w:tcW w:type="dxa" w:w="2351"/>
          </w:tcPr>
          <w:p>
            <w:r>
              <w:t>Draft guidelines for Orphan Drug Accelerated Approval</w:t>
            </w:r>
          </w:p>
        </w:tc>
        <w:tc>
          <w:tcPr>
            <w:tcW w:type="dxa" w:w="2351"/>
          </w:tcPr>
          <w:p>
            <w:r>
              <w:t>Dr. Bhatia Sub-committee</w:t>
            </w:r>
          </w:p>
        </w:tc>
        <w:tc>
          <w:tcPr>
            <w:tcW w:type="dxa" w:w="2351"/>
          </w:tcPr>
          <w:p>
            <w:r>
              <w:t>30 June 2024</w:t>
            </w:r>
          </w:p>
        </w:tc>
      </w:tr>
      <w:tr>
        <w:tc>
          <w:tcPr>
            <w:tcW w:type="dxa" w:w="2351"/>
          </w:tcPr>
          <w:p>
            <w:r>
              <w:t>4</w:t>
            </w:r>
          </w:p>
        </w:tc>
        <w:tc>
          <w:tcPr>
            <w:tcW w:type="dxa" w:w="2351"/>
          </w:tcPr>
          <w:p>
            <w:r>
              <w:t>Issue Dear HCP letter — Durvalumab hepatitis safety signal</w:t>
            </w:r>
          </w:p>
        </w:tc>
        <w:tc>
          <w:tcPr>
            <w:tcW w:type="dxa" w:w="2351"/>
          </w:tcPr>
          <w:p>
            <w:r>
              <w:t>Dr. Kavitha Nair / CDSCO</w:t>
            </w:r>
          </w:p>
        </w:tc>
        <w:tc>
          <w:tcPr>
            <w:tcW w:type="dxa" w:w="2351"/>
          </w:tcPr>
          <w:p>
            <w:r>
              <w:t>22 April 2024</w:t>
            </w:r>
          </w:p>
        </w:tc>
      </w:tr>
      <w:tr>
        <w:tc>
          <w:tcPr>
            <w:tcW w:type="dxa" w:w="2351"/>
          </w:tcPr>
          <w:p>
            <w:r>
              <w:t>5</w:t>
            </w:r>
          </w:p>
        </w:tc>
        <w:tc>
          <w:tcPr>
            <w:tcW w:type="dxa" w:w="2351"/>
          </w:tcPr>
          <w:p>
            <w:r>
              <w:t>Root cause analysis for Indian hepatitis cluster</w:t>
            </w:r>
          </w:p>
        </w:tc>
        <w:tc>
          <w:tcPr>
            <w:tcW w:type="dxa" w:w="2351"/>
          </w:tcPr>
          <w:p>
            <w:r>
              <w:t>AstraZeneca India</w:t>
            </w:r>
          </w:p>
        </w:tc>
        <w:tc>
          <w:tcPr>
            <w:tcW w:type="dxa" w:w="2351"/>
          </w:tcPr>
          <w:p>
            <w:r>
              <w:t>30 May 2024</w:t>
            </w:r>
          </w:p>
        </w:tc>
      </w:tr>
      <w:tr>
        <w:tc>
          <w:tcPr>
            <w:tcW w:type="dxa" w:w="2351"/>
          </w:tcPr>
          <w:p>
            <w:r>
              <w:t>6</w:t>
            </w:r>
          </w:p>
        </w:tc>
        <w:tc>
          <w:tcPr>
            <w:tcW w:type="dxa" w:w="2351"/>
          </w:tcPr>
          <w:p>
            <w:r>
              <w:t>Circulate approved minutes for ratification</w:t>
            </w:r>
          </w:p>
        </w:tc>
        <w:tc>
          <w:tcPr>
            <w:tcW w:type="dxa" w:w="2351"/>
          </w:tcPr>
          <w:p>
            <w:r>
              <w:t>Mr. Ashish Verma</w:t>
            </w:r>
          </w:p>
        </w:tc>
        <w:tc>
          <w:tcPr>
            <w:tcW w:type="dxa" w:w="2351"/>
          </w:tcPr>
          <w:p>
            <w:r>
              <w:t>22 April 2024</w:t>
            </w:r>
          </w:p>
        </w:tc>
      </w:tr>
    </w:tbl>
    <w:p/>
    <w:p>
      <w:r>
        <w:rPr>
          <w:b/>
          <w:sz w:val="20"/>
        </w:rPr>
        <w:t xml:space="preserve">Next Meeting: </w:t>
      </w:r>
      <w:r>
        <w:rPr>
          <w:sz w:val="20"/>
        </w:rPr>
        <w:t>20 May 2024, 10:00 AM, Committee Room 2, CDSCO HQ</w:t>
      </w:r>
    </w:p>
    <w:p>
      <w:r>
        <w:rPr>
          <w:b/>
          <w:sz w:val="20"/>
        </w:rPr>
        <w:t xml:space="preserve">Meeting Closed: </w:t>
      </w:r>
      <w:r>
        <w:rPr>
          <w:sz w:val="20"/>
        </w:rPr>
        <w:t>4:30 PM</w:t>
      </w:r>
    </w:p>
    <w:p>
      <w:pPr>
        <w:pBdr>
          <w:bottom w:val="single" w:sz="6" w:space="1" w:color="999999"/>
        </w:pBdr>
      </w:pPr>
    </w:p>
    <w:p>
      <w:r>
        <w:rPr>
          <w:b w:val="0"/>
          <w:i/>
          <w:sz w:val="18"/>
        </w:rPr>
        <w:t>Minutes prepared by: Mr. Ashish Verma, Section Officer | Reviewed by: Dr. Anita Singh, JDC</w:t>
      </w:r>
    </w:p>
    <w:p>
      <w:r>
        <w:rPr>
          <w:b/>
          <w:i w:val="0"/>
          <w:sz w:val="18"/>
        </w:rPr>
        <w:t>DRAFT — Subject to ratification at next meeting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