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D7A"/>
        </w:rPr>
        <w:t>FORM CT-04 — APPLICATION FOR PERMISSION TO CONDUCT CLINICAL TRIAL</w:t>
      </w:r>
    </w:p>
    <w:p>
      <w:r>
        <w:rPr>
          <w:b w:val="0"/>
          <w:i/>
        </w:rPr>
        <w:t>As per Rule 101 of New Drugs and Clinical Trials Rules, 2019</w:t>
      </w:r>
    </w:p>
    <w:p>
      <w:r>
        <w:rPr>
          <w:b/>
          <w:i w:val="0"/>
        </w:rPr>
        <w:t>Submitted via CDSCO SUGAM Portal | Application Date: 01 April 2024</w:t>
      </w:r>
    </w:p>
    <w:p>
      <w:pPr>
        <w:pBdr>
          <w:bottom w:val="single" w:sz="6" w:space="1" w:color="999999"/>
        </w:pBdr>
      </w:pPr>
    </w:p>
    <w:p>
      <w:r>
        <w:rPr>
          <w:b/>
          <w:sz w:val="20"/>
        </w:rPr>
        <w:t xml:space="preserve">Application Reference No.: </w:t>
      </w:r>
      <w:r>
        <w:rPr>
          <w:sz w:val="20"/>
        </w:rPr>
        <w:t>CT-2024-MH-8821 (System Generated)</w:t>
      </w:r>
    </w:p>
    <w:p>
      <w:r>
        <w:rPr>
          <w:b/>
          <w:sz w:val="20"/>
        </w:rPr>
        <w:t xml:space="preserve">Submission Mode: </w:t>
      </w:r>
      <w:r>
        <w:rPr>
          <w:sz w:val="20"/>
        </w:rPr>
        <w:t>Online — SUGAM Portal (sugam.gov.in)</w:t>
      </w:r>
    </w:p>
    <w:p>
      <w:r>
        <w:rPr>
          <w:b/>
          <w:sz w:val="20"/>
        </w:rPr>
        <w:t xml:space="preserve">Application Type: </w:t>
      </w:r>
      <w:r>
        <w:rPr>
          <w:sz w:val="20"/>
        </w:rPr>
        <w:t>New Clinical Trial Application — Phase III</w:t>
      </w:r>
    </w:p>
    <w:p>
      <w:pPr>
        <w:pStyle w:val="Heading2"/>
      </w:pPr>
      <w:r>
        <w:t>Part A: Applicant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4F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Applicant Name</w:t>
            </w:r>
          </w:p>
        </w:tc>
        <w:tc>
          <w:tcPr>
            <w:tcW w:type="dxa" w:w="4703"/>
          </w:tcPr>
          <w:p>
            <w:r>
              <w:t>Sun Pharmaceutical Industries Limited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Registered Address</w:t>
            </w:r>
          </w:p>
        </w:tc>
        <w:tc>
          <w:tcPr>
            <w:tcW w:type="dxa" w:w="4703"/>
          </w:tcPr>
          <w:p>
            <w:r>
              <w:t>SPARC, Tandalja, Vadodara, Gujarat — 390020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Manufacturing Address</w:t>
            </w:r>
          </w:p>
        </w:tc>
        <w:tc>
          <w:tcPr>
            <w:tcW w:type="dxa" w:w="4703"/>
          </w:tcPr>
          <w:p>
            <w:r>
              <w:t>Plot 107-A, MIDC Silvassa, Dadra &amp; Nagar Haveli — 396230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CIN</w:t>
            </w:r>
          </w:p>
        </w:tc>
        <w:tc>
          <w:tcPr>
            <w:tcW w:type="dxa" w:w="4703"/>
          </w:tcPr>
          <w:p>
            <w:r>
              <w:t>L24230GJ1993PLC019050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GSTIN</w:t>
            </w:r>
          </w:p>
        </w:tc>
        <w:tc>
          <w:tcPr>
            <w:tcW w:type="dxa" w:w="4703"/>
          </w:tcPr>
          <w:p>
            <w:r>
              <w:t>24AAACS9690N1ZP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Drug Licence No.</w:t>
            </w:r>
          </w:p>
        </w:tc>
        <w:tc>
          <w:tcPr>
            <w:tcW w:type="dxa" w:w="4703"/>
          </w:tcPr>
          <w:p>
            <w:r>
              <w:t>MFG/GUJ/2001/0892 (Valid up to 31 Dec 2025)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4703"/>
          </w:tcPr>
          <w:p>
            <w:r>
              <w:t>Dr. Anil Varghese, VP Clinical Development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703"/>
          </w:tcPr>
          <w:p>
            <w:r>
              <w:t>clinicaltrials@sunpharma.com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703"/>
          </w:tcPr>
          <w:p>
            <w:r>
              <w:t>022-43240000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Regulatory Affairs Head</w:t>
            </w:r>
          </w:p>
        </w:tc>
        <w:tc>
          <w:tcPr>
            <w:tcW w:type="dxa" w:w="4703"/>
          </w:tcPr>
          <w:p>
            <w:r>
              <w:t>Ms. Ritu Patel, Director Regulatory Affairs</w:t>
            </w:r>
          </w:p>
        </w:tc>
      </w:tr>
    </w:tbl>
    <w:p/>
    <w:p>
      <w:pPr>
        <w:pStyle w:val="Heading2"/>
      </w:pPr>
      <w:r>
        <w:t>Part B: Drug / Investigational Product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4F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Drug Name (INN)</w:t>
            </w:r>
          </w:p>
        </w:tc>
        <w:tc>
          <w:tcPr>
            <w:tcW w:type="dxa" w:w="4703"/>
          </w:tcPr>
          <w:p>
            <w:r>
              <w:t>Empagliflozin + Metformin Hydrochloride (Fixed Dose Combination)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Brand Name (Proposed)</w:t>
            </w:r>
          </w:p>
        </w:tc>
        <w:tc>
          <w:tcPr>
            <w:tcW w:type="dxa" w:w="4703"/>
          </w:tcPr>
          <w:p>
            <w:r>
              <w:t>EmpaMet Plus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703"/>
          </w:tcPr>
          <w:p>
            <w:r>
              <w:t>Film-coated Tablet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Strengths</w:t>
            </w:r>
          </w:p>
        </w:tc>
        <w:tc>
          <w:tcPr>
            <w:tcW w:type="dxa" w:w="4703"/>
          </w:tcPr>
          <w:p>
            <w:r>
              <w:t>Empagliflozin 10mg + Metformin 500mg (Arm 1); Empagliflozin 25mg + Metformin 1000mg (Arm 2)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Route of Administration</w:t>
            </w:r>
          </w:p>
        </w:tc>
        <w:tc>
          <w:tcPr>
            <w:tcW w:type="dxa" w:w="4703"/>
          </w:tcPr>
          <w:p>
            <w:r>
              <w:t>Oral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Therapeutic Class</w:t>
            </w:r>
          </w:p>
        </w:tc>
        <w:tc>
          <w:tcPr>
            <w:tcW w:type="dxa" w:w="4703"/>
          </w:tcPr>
          <w:p>
            <w:r>
              <w:t>Antidiabetic — SGLT2 Inhibitor + Biguanide FDC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Mechanism of Action</w:t>
            </w:r>
          </w:p>
        </w:tc>
        <w:tc>
          <w:tcPr>
            <w:tcW w:type="dxa" w:w="4703"/>
          </w:tcPr>
          <w:p>
            <w:r>
              <w:t>Empagliflozin: Selective SGLT2 inhibitor — reduces renal glucose reabsorption. Metformin: Biguanide — reduces hepatic glucose output, improves insulin sensitivity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ATC Code</w:t>
            </w:r>
          </w:p>
        </w:tc>
        <w:tc>
          <w:tcPr>
            <w:tcW w:type="dxa" w:w="4703"/>
          </w:tcPr>
          <w:p>
            <w:r>
              <w:t>A10BD20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Drug Master File (DMF)</w:t>
            </w:r>
          </w:p>
        </w:tc>
        <w:tc>
          <w:tcPr>
            <w:tcW w:type="dxa" w:w="4703"/>
          </w:tcPr>
          <w:p>
            <w:r>
              <w:t>API-1: Empagliflozin DMF-US-034521 (Boehringer Ingelheim); API-2: Metformin DMF-IN-2019-0091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Shelf Life</w:t>
            </w:r>
          </w:p>
        </w:tc>
        <w:tc>
          <w:tcPr>
            <w:tcW w:type="dxa" w:w="4703"/>
          </w:tcPr>
          <w:p>
            <w:r>
              <w:t>24 months from date of manufacture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Storage Conditions</w:t>
            </w:r>
          </w:p>
        </w:tc>
        <w:tc>
          <w:tcPr>
            <w:tcW w:type="dxa" w:w="4703"/>
          </w:tcPr>
          <w:p>
            <w:r>
              <w:t>Store below 30°C, protect from moisture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Sponsor Country of Origin</w:t>
            </w:r>
          </w:p>
        </w:tc>
        <w:tc>
          <w:tcPr>
            <w:tcW w:type="dxa" w:w="4703"/>
          </w:tcPr>
          <w:p>
            <w:r>
              <w:t>Germany / India (technology transfer)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Global IND Status</w:t>
            </w:r>
          </w:p>
        </w:tc>
        <w:tc>
          <w:tcPr>
            <w:tcW w:type="dxa" w:w="4703"/>
          </w:tcPr>
          <w:p>
            <w:r>
              <w:t>Active IND 125430 (US FDA); IMPD submitted to EMA</w:t>
            </w:r>
          </w:p>
        </w:tc>
      </w:tr>
    </w:tbl>
    <w:p/>
    <w:p>
      <w:pPr>
        <w:pStyle w:val="Heading2"/>
      </w:pPr>
      <w:r>
        <w:t>Part C: Study Summary</w:t>
      </w:r>
    </w:p>
    <w:p>
      <w:r>
        <w:rPr>
          <w:b/>
          <w:sz w:val="20"/>
        </w:rPr>
        <w:t xml:space="preserve">Study Title: </w:t>
      </w:r>
      <w:r>
        <w:rPr>
          <w:sz w:val="20"/>
        </w:rPr>
        <w:t>A Phase III, Randomised, Double-Blind, Active-Controlled Study to Evaluate the Efficacy and Safety of Empagliflozin/Metformin FDC Compared to Metformin Monotherapy as Add-on to Diet and Exercise in Adults with Type 2 Diabetes Mellitus Inadequately Controlled on Metformin Alone</w:t>
      </w:r>
    </w:p>
    <w:p>
      <w:r>
        <w:rPr>
          <w:b/>
          <w:sz w:val="20"/>
        </w:rPr>
        <w:t xml:space="preserve">Study Design: </w:t>
      </w:r>
      <w:r>
        <w:rPr>
          <w:sz w:val="20"/>
        </w:rPr>
        <w:t>Randomised, Double-Blind, Double-Dummy, Parallel Group, Active-Controlled, Multicentre</w:t>
      </w:r>
    </w:p>
    <w:p>
      <w:r>
        <w:rPr>
          <w:b/>
          <w:sz w:val="20"/>
        </w:rPr>
        <w:t xml:space="preserve">Phase: </w:t>
      </w:r>
      <w:r>
        <w:rPr>
          <w:sz w:val="20"/>
        </w:rPr>
        <w:t>Phase III</w:t>
      </w:r>
    </w:p>
    <w:p>
      <w:r>
        <w:rPr>
          <w:b/>
          <w:sz w:val="20"/>
        </w:rPr>
        <w:t xml:space="preserve">Primary Endpoint: </w:t>
      </w:r>
      <w:r>
        <w:rPr>
          <w:sz w:val="20"/>
        </w:rPr>
        <w:t>Change from baseline in HbA1c at Week 26</w:t>
      </w:r>
    </w:p>
    <w:p>
      <w:r>
        <w:rPr>
          <w:b/>
          <w:sz w:val="20"/>
        </w:rPr>
        <w:t xml:space="preserve">Secondary Endpoints: </w:t>
      </w:r>
      <w:r>
        <w:rPr>
          <w:sz w:val="20"/>
        </w:rPr>
        <w:t>Fasting Plasma Glucose, Body Weight, Systolic BP, Proportion achieving HbA1c &lt; 7.0%, MACE (12-month extended follow-up)</w:t>
      </w:r>
    </w:p>
    <w:p>
      <w:r>
        <w:rPr>
          <w:b/>
          <w:sz w:val="20"/>
        </w:rPr>
        <w:t xml:space="preserve">Sample Size: </w:t>
      </w:r>
      <w:r>
        <w:rPr>
          <w:sz w:val="20"/>
        </w:rPr>
        <w:t>540 patients (180 per arm × 3 arms) — 80% power, two-sided α 0.05, expected HbA1c difference 0.7%, SD 1.5%</w:t>
      </w:r>
    </w:p>
    <w:p>
      <w:r>
        <w:rPr>
          <w:b/>
          <w:sz w:val="20"/>
        </w:rPr>
        <w:t xml:space="preserve">Duration: </w:t>
      </w:r>
      <w:r>
        <w:rPr>
          <w:sz w:val="20"/>
        </w:rPr>
        <w:t>26 weeks (primary endpoint) + 52-week safety extension</w:t>
      </w:r>
    </w:p>
    <w:p>
      <w:r>
        <w:rPr>
          <w:b/>
          <w:sz w:val="20"/>
        </w:rPr>
        <w:t xml:space="preserve">Randomisation: </w:t>
      </w:r>
      <w:r>
        <w:rPr>
          <w:sz w:val="20"/>
        </w:rPr>
        <w:t>1:1:1 — Arm A: EmpaMet 10/500mg, Arm B: EmpaMet 25/1000mg, Arm C: Metformin 1000mg</w:t>
      </w:r>
    </w:p>
    <w:p/>
    <w:p>
      <w:pPr>
        <w:pStyle w:val="Heading2"/>
      </w:pPr>
      <w:r>
        <w:t>Part D: Study Sites &amp; Investigators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</w:rPr>
              <w:t>Site No.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</w:rPr>
              <w:t>Principal Investigator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</w:rPr>
              <w:t>EC Approval</w:t>
            </w:r>
          </w:p>
        </w:tc>
      </w:tr>
      <w:tr>
        <w:tc>
          <w:tcPr>
            <w:tcW w:type="dxa" w:w="2351"/>
          </w:tcPr>
          <w:p>
            <w:r>
              <w:t>IN-001</w:t>
            </w:r>
          </w:p>
        </w:tc>
        <w:tc>
          <w:tcPr>
            <w:tcW w:type="dxa" w:w="2351"/>
          </w:tcPr>
          <w:p>
            <w:r>
              <w:t>AIIMS New Delhi</w:t>
            </w:r>
          </w:p>
        </w:tc>
        <w:tc>
          <w:tcPr>
            <w:tcW w:type="dxa" w:w="2351"/>
          </w:tcPr>
          <w:p>
            <w:r>
              <w:t>Dr. Anil Batra, MD, DM Endocrinology</w:t>
            </w:r>
          </w:p>
        </w:tc>
        <w:tc>
          <w:tcPr>
            <w:tcW w:type="dxa" w:w="2351"/>
          </w:tcPr>
          <w:p>
            <w:r>
              <w:t>EC/AIIMS/2024/019 — 15 Feb 2024 ✓</w:t>
            </w:r>
          </w:p>
        </w:tc>
      </w:tr>
      <w:tr>
        <w:tc>
          <w:tcPr>
            <w:tcW w:type="dxa" w:w="2351"/>
          </w:tcPr>
          <w:p>
            <w:r>
              <w:t>IN-002</w:t>
            </w:r>
          </w:p>
        </w:tc>
        <w:tc>
          <w:tcPr>
            <w:tcW w:type="dxa" w:w="2351"/>
          </w:tcPr>
          <w:p>
            <w:r>
              <w:t>PGI Chandigarh</w:t>
            </w:r>
          </w:p>
        </w:tc>
        <w:tc>
          <w:tcPr>
            <w:tcW w:type="dxa" w:w="2351"/>
          </w:tcPr>
          <w:p>
            <w:r>
              <w:t>Dr. Ravi Kant, MD, DM</w:t>
            </w:r>
          </w:p>
        </w:tc>
        <w:tc>
          <w:tcPr>
            <w:tcW w:type="dxa" w:w="2351"/>
          </w:tcPr>
          <w:p>
            <w:r>
              <w:t>PENDING — submitted 10 March 2024 ✗</w:t>
            </w:r>
          </w:p>
        </w:tc>
      </w:tr>
      <w:tr>
        <w:tc>
          <w:tcPr>
            <w:tcW w:type="dxa" w:w="2351"/>
          </w:tcPr>
          <w:p>
            <w:r>
              <w:t>IN-003</w:t>
            </w:r>
          </w:p>
        </w:tc>
        <w:tc>
          <w:tcPr>
            <w:tcW w:type="dxa" w:w="2351"/>
          </w:tcPr>
          <w:p>
            <w:r>
              <w:t>JIPMER Puducherry</w:t>
            </w:r>
          </w:p>
        </w:tc>
        <w:tc>
          <w:tcPr>
            <w:tcW w:type="dxa" w:w="2351"/>
          </w:tcPr>
          <w:p>
            <w:r>
              <w:t>Dr. Subramanian Iyer, MD</w:t>
            </w:r>
          </w:p>
        </w:tc>
        <w:tc>
          <w:tcPr>
            <w:tcW w:type="dxa" w:w="2351"/>
          </w:tcPr>
          <w:p>
            <w:r>
              <w:t>PENDING — submitted 15 March 2024 ✗</w:t>
            </w:r>
          </w:p>
        </w:tc>
      </w:tr>
      <w:tr>
        <w:tc>
          <w:tcPr>
            <w:tcW w:type="dxa" w:w="2351"/>
          </w:tcPr>
          <w:p>
            <w:r>
              <w:t>IN-004</w:t>
            </w:r>
          </w:p>
        </w:tc>
        <w:tc>
          <w:tcPr>
            <w:tcW w:type="dxa" w:w="2351"/>
          </w:tcPr>
          <w:p>
            <w:r>
              <w:t>KEM Hospital Mumbai</w:t>
            </w:r>
          </w:p>
        </w:tc>
        <w:tc>
          <w:tcPr>
            <w:tcW w:type="dxa" w:w="2351"/>
          </w:tcPr>
          <w:p>
            <w:r>
              <w:t>Dr. Anand Mehta, MD, DM</w:t>
            </w:r>
          </w:p>
        </w:tc>
        <w:tc>
          <w:tcPr>
            <w:tcW w:type="dxa" w:w="2351"/>
          </w:tcPr>
          <w:p>
            <w:r>
              <w:t>EC/KEM/2024/34 — 20 Feb 2024 ✓</w:t>
            </w:r>
          </w:p>
        </w:tc>
      </w:tr>
      <w:tr>
        <w:tc>
          <w:tcPr>
            <w:tcW w:type="dxa" w:w="2351"/>
          </w:tcPr>
          <w:p>
            <w:r>
              <w:t>IN-005</w:t>
            </w:r>
          </w:p>
        </w:tc>
        <w:tc>
          <w:tcPr>
            <w:tcW w:type="dxa" w:w="2351"/>
          </w:tcPr>
          <w:p>
            <w:r>
              <w:t>Nizam's Institute Hyderabad</w:t>
            </w:r>
          </w:p>
        </w:tc>
        <w:tc>
          <w:tcPr>
            <w:tcW w:type="dxa" w:w="2351"/>
          </w:tcPr>
          <w:p>
            <w:r>
              <w:t>Dr. Vijay Viswanathan, MD</w:t>
            </w:r>
          </w:p>
        </w:tc>
        <w:tc>
          <w:tcPr>
            <w:tcW w:type="dxa" w:w="2351"/>
          </w:tcPr>
          <w:p>
            <w:r>
              <w:t>PENDING — submitted 01 April 2024 ✗</w:t>
            </w:r>
          </w:p>
        </w:tc>
      </w:tr>
      <w:tr>
        <w:tc>
          <w:tcPr>
            <w:tcW w:type="dxa" w:w="2351"/>
          </w:tcPr>
          <w:p>
            <w:r>
              <w:t>IN-006</w:t>
            </w:r>
          </w:p>
        </w:tc>
        <w:tc>
          <w:tcPr>
            <w:tcW w:type="dxa" w:w="2351"/>
          </w:tcPr>
          <w:p>
            <w:r>
              <w:t>Postgraduate Institute Kolkata</w:t>
            </w:r>
          </w:p>
        </w:tc>
        <w:tc>
          <w:tcPr>
            <w:tcW w:type="dxa" w:w="2351"/>
          </w:tcPr>
          <w:p>
            <w:r>
              <w:t>Dr. Sujoy Ghosh, DM</w:t>
            </w:r>
          </w:p>
        </w:tc>
        <w:tc>
          <w:tcPr>
            <w:tcW w:type="dxa" w:w="2351"/>
          </w:tcPr>
          <w:p>
            <w:r>
              <w:t>EC/IPGME/2024/112 — 05 March 2024 ✓</w:t>
            </w:r>
          </w:p>
        </w:tc>
      </w:tr>
    </w:tbl>
    <w:p/>
    <w:p>
      <w:pPr>
        <w:pStyle w:val="Heading2"/>
      </w:pPr>
      <w:r>
        <w:t>Part E: Document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3135"/>
          </w:tcPr>
          <w:p>
            <w:r>
              <w:t>Form CT-04 (Application Form)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Signed by CEO and Head RA</w:t>
            </w:r>
          </w:p>
        </w:tc>
      </w:tr>
      <w:tr>
        <w:tc>
          <w:tcPr>
            <w:tcW w:type="dxa" w:w="3135"/>
          </w:tcPr>
          <w:p>
            <w:r>
              <w:t>Clinical Protocol v3.2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Dated 15 March 2024, 148 pages</w:t>
            </w:r>
          </w:p>
        </w:tc>
      </w:tr>
      <w:tr>
        <w:tc>
          <w:tcPr>
            <w:tcW w:type="dxa" w:w="3135"/>
          </w:tcPr>
          <w:p>
            <w:r>
              <w:t>Investigator's Brochure v5.0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Dated January 2024, 312 pages</w:t>
            </w:r>
          </w:p>
        </w:tc>
      </w:tr>
      <w:tr>
        <w:tc>
          <w:tcPr>
            <w:tcW w:type="dxa" w:w="3135"/>
          </w:tcPr>
          <w:p>
            <w:r>
              <w:t>Informed Consent Form (English)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Informed Consent Form (Hindi)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ICF in regional languages</w:t>
            </w:r>
          </w:p>
        </w:tc>
        <w:tc>
          <w:tcPr>
            <w:tcW w:type="dxa" w:w="3135"/>
          </w:tcPr>
          <w:p>
            <w:r>
              <w:t>✗ NOT SUBMITTED</w:t>
            </w:r>
          </w:p>
        </w:tc>
        <w:tc>
          <w:tcPr>
            <w:tcW w:type="dxa" w:w="3135"/>
          </w:tcPr>
          <w:p>
            <w:r>
              <w:t>Tamil, Telugu, Bengali ICFs absent — 3 sites require local language</w:t>
            </w:r>
          </w:p>
        </w:tc>
      </w:tr>
      <w:tr>
        <w:tc>
          <w:tcPr>
            <w:tcW w:type="dxa" w:w="3135"/>
          </w:tcPr>
          <w:p>
            <w:r>
              <w:t>Patient Information Sheet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English and Hindi versions</w:t>
            </w:r>
          </w:p>
        </w:tc>
      </w:tr>
      <w:tr>
        <w:tc>
          <w:tcPr>
            <w:tcW w:type="dxa" w:w="3135"/>
          </w:tcPr>
          <w:p>
            <w:r>
              <w:t>EC Approval — AIIMS Delhi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EC/AIIMS/2024/019</w:t>
            </w:r>
          </w:p>
        </w:tc>
      </w:tr>
      <w:tr>
        <w:tc>
          <w:tcPr>
            <w:tcW w:type="dxa" w:w="3135"/>
          </w:tcPr>
          <w:p>
            <w:r>
              <w:t>EC Approval — PGI Chandigarh</w:t>
            </w:r>
          </w:p>
        </w:tc>
        <w:tc>
          <w:tcPr>
            <w:tcW w:type="dxa" w:w="3135"/>
          </w:tcPr>
          <w:p>
            <w:r>
              <w:t>✗ PENDING</w:t>
            </w:r>
          </w:p>
        </w:tc>
        <w:tc>
          <w:tcPr>
            <w:tcW w:type="dxa" w:w="3135"/>
          </w:tcPr>
          <w:p>
            <w:r>
              <w:t>Expected April 2024</w:t>
            </w:r>
          </w:p>
        </w:tc>
      </w:tr>
      <w:tr>
        <w:tc>
          <w:tcPr>
            <w:tcW w:type="dxa" w:w="3135"/>
          </w:tcPr>
          <w:p>
            <w:r>
              <w:t>EC Approval — JIPMER</w:t>
            </w:r>
          </w:p>
        </w:tc>
        <w:tc>
          <w:tcPr>
            <w:tcW w:type="dxa" w:w="3135"/>
          </w:tcPr>
          <w:p>
            <w:r>
              <w:t>✗ PENDING</w:t>
            </w:r>
          </w:p>
        </w:tc>
        <w:tc>
          <w:tcPr>
            <w:tcW w:type="dxa" w:w="3135"/>
          </w:tcPr>
          <w:p>
            <w:r>
              <w:t>Expected April 2024</w:t>
            </w:r>
          </w:p>
        </w:tc>
      </w:tr>
      <w:tr>
        <w:tc>
          <w:tcPr>
            <w:tcW w:type="dxa" w:w="3135"/>
          </w:tcPr>
          <w:p>
            <w:r>
              <w:t>EC Approval — KEM Mumbai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EC/KEM/2024/34</w:t>
            </w:r>
          </w:p>
        </w:tc>
      </w:tr>
      <w:tr>
        <w:tc>
          <w:tcPr>
            <w:tcW w:type="dxa" w:w="3135"/>
          </w:tcPr>
          <w:p>
            <w:r>
              <w:t>EC Approval — Nizam's Institute</w:t>
            </w:r>
          </w:p>
        </w:tc>
        <w:tc>
          <w:tcPr>
            <w:tcW w:type="dxa" w:w="3135"/>
          </w:tcPr>
          <w:p>
            <w:r>
              <w:t>✗ PENDING</w:t>
            </w:r>
          </w:p>
        </w:tc>
        <w:tc>
          <w:tcPr>
            <w:tcW w:type="dxa" w:w="3135"/>
          </w:tcPr>
          <w:p>
            <w:r>
              <w:t>Submitted 01 April 2024</w:t>
            </w:r>
          </w:p>
        </w:tc>
      </w:tr>
      <w:tr>
        <w:tc>
          <w:tcPr>
            <w:tcW w:type="dxa" w:w="3135"/>
          </w:tcPr>
          <w:p>
            <w:r>
              <w:t>EC Approval — IPGME Kolkata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EC/IPGME/2024/112</w:t>
            </w:r>
          </w:p>
        </w:tc>
      </w:tr>
      <w:tr>
        <w:tc>
          <w:tcPr>
            <w:tcW w:type="dxa" w:w="3135"/>
          </w:tcPr>
          <w:p>
            <w:r>
              <w:t>CV of Principal Investigators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All 6 PIs — GCP certified</w:t>
            </w:r>
          </w:p>
        </w:tc>
      </w:tr>
      <w:tr>
        <w:tc>
          <w:tcPr>
            <w:tcW w:type="dxa" w:w="3135"/>
          </w:tcPr>
          <w:p>
            <w:r>
              <w:t>GCP Certificates — All Investigators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Valid certificates for all sites</w:t>
            </w:r>
          </w:p>
        </w:tc>
      </w:tr>
      <w:tr>
        <w:tc>
          <w:tcPr>
            <w:tcW w:type="dxa" w:w="3135"/>
          </w:tcPr>
          <w:p>
            <w:r>
              <w:t>Phase I Data (Bioavailability Study)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Study Sun-EMP-BA-001, n=36</w:t>
            </w:r>
          </w:p>
        </w:tc>
      </w:tr>
      <w:tr>
        <w:tc>
          <w:tcPr>
            <w:tcW w:type="dxa" w:w="3135"/>
          </w:tcPr>
          <w:p>
            <w:r>
              <w:t>Phase II Data (Efficacy/Dose Selection)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Study Sun-EMP-P2-001, n=180, 12 weeks</w:t>
            </w:r>
          </w:p>
        </w:tc>
      </w:tr>
      <w:tr>
        <w:tc>
          <w:tcPr>
            <w:tcW w:type="dxa" w:w="3135"/>
          </w:tcPr>
          <w:p>
            <w:r>
              <w:t>Statistical Analysis Plan (SAP)</w:t>
            </w:r>
          </w:p>
        </w:tc>
        <w:tc>
          <w:tcPr>
            <w:tcW w:type="dxa" w:w="3135"/>
          </w:tcPr>
          <w:p>
            <w:r>
              <w:t>✗ NOT SUBMITTED</w:t>
            </w:r>
          </w:p>
        </w:tc>
        <w:tc>
          <w:tcPr>
            <w:tcW w:type="dxa" w:w="3135"/>
          </w:tcPr>
          <w:p>
            <w:r>
              <w:t>Not included — critical gap</w:t>
            </w:r>
          </w:p>
        </w:tc>
      </w:tr>
      <w:tr>
        <w:tc>
          <w:tcPr>
            <w:tcW w:type="dxa" w:w="3135"/>
          </w:tcPr>
          <w:p>
            <w:r>
              <w:t>Insurance / Indemnity Certificate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New India Assurance, ₹25 lakhs per subject</w:t>
            </w:r>
          </w:p>
        </w:tc>
      </w:tr>
      <w:tr>
        <w:tc>
          <w:tcPr>
            <w:tcW w:type="dxa" w:w="3135"/>
          </w:tcPr>
          <w:p>
            <w:r>
              <w:t>Financial Disclosure Forms — All PIs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No conflicts declared</w:t>
            </w:r>
          </w:p>
        </w:tc>
      </w:tr>
      <w:tr>
        <w:tc>
          <w:tcPr>
            <w:tcW w:type="dxa" w:w="3135"/>
          </w:tcPr>
          <w:p>
            <w:r>
              <w:t>Drug Supply Arrangement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Qualified Manufacturer: Sun Pharma Silvassa</w:t>
            </w:r>
          </w:p>
        </w:tc>
      </w:tr>
      <w:tr>
        <w:tc>
          <w:tcPr>
            <w:tcW w:type="dxa" w:w="3135"/>
          </w:tcPr>
          <w:p>
            <w:r>
              <w:t>GMP Certificate — Manufacturing Site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Valid to December 2025</w:t>
            </w:r>
          </w:p>
        </w:tc>
      </w:tr>
      <w:tr>
        <w:tc>
          <w:tcPr>
            <w:tcW w:type="dxa" w:w="3135"/>
          </w:tcPr>
          <w:p>
            <w:r>
              <w:t>Bioanalytical Method Validation Report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LC-MS/MS validated method</w:t>
            </w:r>
          </w:p>
        </w:tc>
      </w:tr>
      <w:tr>
        <w:tc>
          <w:tcPr>
            <w:tcW w:type="dxa" w:w="3135"/>
          </w:tcPr>
          <w:p>
            <w:r>
              <w:t>Risk Management Plan</w:t>
            </w:r>
          </w:p>
        </w:tc>
        <w:tc>
          <w:tcPr>
            <w:tcW w:type="dxa" w:w="3135"/>
          </w:tcPr>
          <w:p>
            <w:r>
              <w:t>✗ NOT SUBMITTED</w:t>
            </w:r>
          </w:p>
        </w:tc>
        <w:tc>
          <w:tcPr>
            <w:tcW w:type="dxa" w:w="3135"/>
          </w:tcPr>
          <w:p>
            <w:r>
              <w:t>Required under NDCT Rules 2019</w:t>
            </w:r>
          </w:p>
        </w:tc>
      </w:tr>
      <w:tr>
        <w:tc>
          <w:tcPr>
            <w:tcW w:type="dxa" w:w="3135"/>
          </w:tcPr>
          <w:p>
            <w:r>
              <w:t>Paediatric Investigation Plan / Waiver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Waiver granted — adult indication only</w:t>
            </w:r>
          </w:p>
        </w:tc>
      </w:tr>
      <w:tr>
        <w:tc>
          <w:tcPr>
            <w:tcW w:type="dxa" w:w="3135"/>
          </w:tcPr>
          <w:p>
            <w:r>
              <w:t>Free Sale Certificate (Germany)</w:t>
            </w:r>
          </w:p>
        </w:tc>
        <w:tc>
          <w:tcPr>
            <w:tcW w:type="dxa" w:w="3135"/>
          </w:tcPr>
          <w:p>
            <w:r>
              <w:t>✓ SUBMITTED</w:t>
            </w:r>
          </w:p>
        </w:tc>
        <w:tc>
          <w:tcPr>
            <w:tcW w:type="dxa" w:w="3135"/>
          </w:tcPr>
          <w:p>
            <w:r>
              <w:t>Empagliflozin approved in EU since 2014</w:t>
            </w:r>
          </w:p>
        </w:tc>
      </w:tr>
    </w:tbl>
    <w:p/>
    <w:p>
      <w:pPr>
        <w:pStyle w:val="Heading2"/>
      </w:pPr>
      <w:r>
        <w:t>Part F: Previous Regulatory Interactions</w:t>
      </w:r>
    </w:p>
    <w:p>
      <w:r>
        <w:rPr>
          <w:b w:val="0"/>
          <w:i w:val="0"/>
        </w:rPr>
        <w:t>Pre-IND meeting with CDSCO held on 14 September 2023. CDSCO indicated that Phase I bridging study in Indian population would be required given known PK differences in Asian vs Caucasian populations. Bridging study completed (Study Sun-EMP-BA-001, n=36 Indian healthy volunteers) — data submitted. CDSCO confirmed adequacy via email dated 15 February 2024.</w:t>
      </w:r>
    </w:p>
    <w:p>
      <w:pPr>
        <w:pStyle w:val="Heading2"/>
      </w:pPr>
      <w:r>
        <w:t>Part G: Benefit-Risk Assessment</w:t>
      </w:r>
    </w:p>
    <w:p>
      <w:r>
        <w:rPr>
          <w:b w:val="0"/>
          <w:i w:val="0"/>
        </w:rPr>
        <w:t>Empagliflozin monotherapy has demonstrated HbA1c reduction of 0.7–0.8% in Indian Phase III data (EMPA-REG India subset). Metformin remains first-line standard of care. The FDC addresses the common clinical problem of pill burden reducing adherence in T2DM patients on multiple medications. EMPA-REG OUTCOME trial demonstrated 38% reduction in cardiovascular death — this benefit-risk is considered strongly positive for the target population (T2DM with inadequate glycaemic control on metformin). Primary risk: Genital mycotic infections (9.7%), UTI (8.1%), DKA (rare, 0.1%).</w:t>
      </w:r>
    </w:p>
    <w:p>
      <w:pPr>
        <w:pBdr>
          <w:bottom w:val="single" w:sz="6" w:space="1" w:color="999999"/>
        </w:pBdr>
      </w:pPr>
    </w:p>
    <w:p>
      <w:r>
        <w:rPr>
          <w:b/>
          <w:i w:val="0"/>
        </w:rPr>
        <w:t>Declaration: I/We hereby declare that the information provided in this application and accompanying documents is true, complete and accurate to the best of my/our knowledge.</w:t>
      </w:r>
    </w:p>
    <w:p>
      <w:r>
        <w:rPr>
          <w:b w:val="0"/>
          <w:i/>
          <w:sz w:val="18"/>
        </w:rPr>
        <w:t>Signature: Dr. Anil Varghese, VP Clinical Development | Date: 01 April 2024 | Sun Pharmaceutical Industries Ltd.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