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D7A"/>
        </w:rPr>
        <w:t>CLINICAL STUDY PROTOCOL — AMENDMENT 2.0</w:t>
      </w:r>
    </w:p>
    <w:p>
      <w:r>
        <w:rPr>
          <w:b/>
          <w:sz w:val="20"/>
        </w:rPr>
        <w:t xml:space="preserve">Protocol No.: </w:t>
      </w:r>
      <w:r>
        <w:rPr>
          <w:sz w:val="20"/>
        </w:rPr>
        <w:t>PSI-CV-2023-01</w:t>
      </w:r>
    </w:p>
    <w:p>
      <w:r>
        <w:rPr>
          <w:b/>
          <w:sz w:val="20"/>
        </w:rPr>
        <w:t xml:space="preserve">Version: </w:t>
      </w:r>
      <w:r>
        <w:rPr>
          <w:sz w:val="20"/>
        </w:rPr>
        <w:t>2.0</w:t>
      </w:r>
    </w:p>
    <w:p>
      <w:r>
        <w:rPr>
          <w:b/>
          <w:sz w:val="20"/>
        </w:rPr>
        <w:t xml:space="preserve">Date: </w:t>
      </w:r>
      <w:r>
        <w:rPr>
          <w:sz w:val="20"/>
        </w:rPr>
        <w:t>15 January 2024</w:t>
      </w:r>
    </w:p>
    <w:p>
      <w:r>
        <w:rPr>
          <w:b/>
          <w:sz w:val="20"/>
        </w:rPr>
        <w:t xml:space="preserve">Drug: </w:t>
      </w:r>
      <w:r>
        <w:rPr>
          <w:sz w:val="20"/>
        </w:rPr>
        <w:t>Cardivex 10mg</w:t>
      </w:r>
    </w:p>
    <w:p>
      <w:r>
        <w:rPr>
          <w:b/>
          <w:sz w:val="20"/>
        </w:rPr>
        <w:t xml:space="preserve">Sponsor: </w:t>
      </w:r>
      <w:r>
        <w:rPr>
          <w:sz w:val="20"/>
        </w:rPr>
        <w:t>Pharma Solutions India Pvt. Ltd., Mumbai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Study Objectives</w:t>
      </w:r>
    </w:p>
    <w:p>
      <w:pPr>
        <w:pStyle w:val="Heading3"/>
      </w:pPr>
      <w:r>
        <w:t>1.1 Primary Objective</w:t>
      </w:r>
    </w:p>
    <w:p>
      <w:r>
        <w:rPr>
          <w:b w:val="0"/>
          <w:i w:val="0"/>
        </w:rPr>
        <w:t>To evaluate the efficacy of Cardivex 10mg versus placebo in reducing major adverse cardiovascular events (MACE — defined as cardiovascular death, non-fatal MI, or non-fatal stroke) over 12 months of treatment in adults aged 18–65 years with established cardiovascular disease and LDL-C ≥ 130 mg/dL despite statin therapy.</w:t>
      </w:r>
    </w:p>
    <w:p>
      <w:pPr>
        <w:pStyle w:val="Heading3"/>
      </w:pPr>
      <w:r>
        <w:t>1.2 Secondary Objectives</w:t>
      </w:r>
    </w:p>
    <w:p>
      <w:pPr>
        <w:pStyle w:val="ListBullet"/>
      </w:pPr>
      <w:r>
        <w:t>Change from baseline in LDL-C at 12 months</w:t>
      </w:r>
    </w:p>
    <w:p>
      <w:pPr>
        <w:pStyle w:val="ListBullet"/>
      </w:pPr>
      <w:r>
        <w:t>Change from baseline in total cholesterol, HDL-C, and TG at 12 months</w:t>
      </w:r>
    </w:p>
    <w:p>
      <w:pPr>
        <w:pStyle w:val="ListBullet"/>
      </w:pPr>
      <w:r>
        <w:t>Incidence of individual MACE components</w:t>
      </w:r>
    </w:p>
    <w:p>
      <w:pPr>
        <w:pStyle w:val="ListBullet"/>
      </w:pPr>
      <w:r>
        <w:t>All-cause mortality</w:t>
      </w:r>
    </w:p>
    <w:p>
      <w:pPr>
        <w:pStyle w:val="ListBullet"/>
      </w:pPr>
      <w:r>
        <w:t>Safety and tolerability (AEs, SAEs, laboratory parameters, vital signs)</w:t>
      </w:r>
    </w:p>
    <w:p>
      <w:pPr>
        <w:pStyle w:val="Heading2"/>
      </w:pPr>
      <w:r>
        <w:t>2. Study Design</w:t>
      </w:r>
    </w:p>
    <w:p>
      <w:r>
        <w:rPr>
          <w:b/>
          <w:sz w:val="20"/>
        </w:rPr>
        <w:t xml:space="preserve">Design: </w:t>
      </w:r>
      <w:r>
        <w:rPr>
          <w:sz w:val="20"/>
        </w:rPr>
        <w:t>Randomised, Double-Blind, Placebo-Controlled, Parallel-Group, Multicentre</w:t>
      </w:r>
    </w:p>
    <w:p>
      <w:r>
        <w:rPr>
          <w:b/>
          <w:sz w:val="20"/>
        </w:rPr>
        <w:t xml:space="preserve">Phase: </w:t>
      </w:r>
      <w:r>
        <w:rPr>
          <w:sz w:val="20"/>
        </w:rPr>
        <w:t>Phase III</w:t>
      </w:r>
    </w:p>
    <w:p>
      <w:r>
        <w:rPr>
          <w:b/>
          <w:sz w:val="20"/>
        </w:rPr>
        <w:t xml:space="preserve">Treatment Arms: </w:t>
      </w:r>
      <w:r>
        <w:rPr>
          <w:sz w:val="20"/>
        </w:rPr>
        <w:t>Arm A: Cardivex 10mg OD</w:t>
      </w:r>
    </w:p>
    <w:p>
      <w:r>
        <w:rPr>
          <w:b/>
          <w:sz w:val="20"/>
        </w:rPr>
        <w:t xml:space="preserve">: </w:t>
      </w:r>
      <w:r>
        <w:rPr>
          <w:sz w:val="20"/>
        </w:rPr>
        <w:t>Arm B: Placebo OD</w:t>
      </w:r>
    </w:p>
    <w:p>
      <w:r>
        <w:rPr>
          <w:b/>
          <w:sz w:val="20"/>
        </w:rPr>
        <w:t xml:space="preserve">Duration: </w:t>
      </w:r>
      <w:r>
        <w:rPr>
          <w:sz w:val="20"/>
        </w:rPr>
        <w:t>12 months (primary) + 3 months safety follow-up</w:t>
      </w:r>
    </w:p>
    <w:p>
      <w:r>
        <w:rPr>
          <w:b/>
          <w:sz w:val="20"/>
        </w:rPr>
        <w:t xml:space="preserve">Randomisation: </w:t>
      </w:r>
      <w:r>
        <w:rPr>
          <w:sz w:val="20"/>
        </w:rPr>
        <w:t>1:1 (Cardivex 10mg : Placebo)</w:t>
      </w:r>
    </w:p>
    <w:p>
      <w:pPr>
        <w:pStyle w:val="Heading2"/>
      </w:pPr>
      <w:r>
        <w:t>3. Study Population</w:t>
      </w:r>
    </w:p>
    <w:p>
      <w:pPr>
        <w:pStyle w:val="Heading3"/>
      </w:pPr>
      <w:r>
        <w:t>3.1 Inclusion Criteria</w:t>
      </w:r>
    </w:p>
    <w:p>
      <w:pPr>
        <w:pStyle w:val="ListBullet"/>
      </w:pPr>
      <w:r>
        <w:t>Age 18–65 years at time of screening</w:t>
      </w:r>
    </w:p>
    <w:p>
      <w:pPr>
        <w:pStyle w:val="ListBullet"/>
      </w:pPr>
      <w:r>
        <w:t>Established cardiovascular disease (prior MI, stroke, or symptomatic PAD)</w:t>
      </w:r>
    </w:p>
    <w:p>
      <w:pPr>
        <w:pStyle w:val="ListBullet"/>
      </w:pPr>
      <w:r>
        <w:t>LDL-C ≥ 130 mg/dL despite statin therapy for ≥ 3 months</w:t>
      </w:r>
    </w:p>
    <w:p>
      <w:pPr>
        <w:pStyle w:val="ListBullet"/>
      </w:pPr>
      <w:r>
        <w:t>On stable background statin therapy for ≥ 3 months</w:t>
      </w:r>
    </w:p>
    <w:p>
      <w:pPr>
        <w:pStyle w:val="ListBullet"/>
      </w:pPr>
      <w:r>
        <w:t>Willing and able to provide informed consent</w:t>
      </w:r>
    </w:p>
    <w:p>
      <w:pPr>
        <w:pStyle w:val="Heading3"/>
      </w:pPr>
      <w:r>
        <w:t>3.2 Exclusion Criteria</w:t>
      </w:r>
    </w:p>
    <w:p>
      <w:pPr>
        <w:pStyle w:val="ListBullet"/>
      </w:pPr>
      <w:r>
        <w:t>Severe renal impairment (eGFR &lt; 30 mL/min/1.73m²)</w:t>
      </w:r>
    </w:p>
    <w:p>
      <w:pPr>
        <w:pStyle w:val="ListBullet"/>
      </w:pPr>
      <w:r>
        <w:t>Active liver disease or ALT/AST &gt; 3× ULN</w:t>
      </w:r>
    </w:p>
    <w:p>
      <w:pPr>
        <w:pStyle w:val="ListBullet"/>
      </w:pPr>
      <w:r>
        <w:t>Known statin intolerance or hypersensitivity to any component</w:t>
      </w:r>
    </w:p>
    <w:p>
      <w:pPr>
        <w:pStyle w:val="ListBullet"/>
      </w:pPr>
      <w:r>
        <w:t>NYHA Class IV heart failure</w:t>
      </w:r>
    </w:p>
    <w:p>
      <w:pPr>
        <w:pStyle w:val="ListBullet"/>
      </w:pPr>
      <w:r>
        <w:t>Life expectancy &lt; 12 months</w:t>
      </w:r>
    </w:p>
    <w:p>
      <w:pPr>
        <w:pStyle w:val="ListBullet"/>
      </w:pPr>
      <w:r>
        <w:t>Current participation in another interventional trial</w:t>
      </w:r>
    </w:p>
    <w:p>
      <w:pPr>
        <w:pStyle w:val="ListBullet"/>
      </w:pPr>
      <w:r>
        <w:t>Pregnancy or breastfeeding</w:t>
      </w:r>
    </w:p>
    <w:p>
      <w:pPr>
        <w:pStyle w:val="Heading2"/>
      </w:pPr>
      <w:r>
        <w:t>4. Sample Size</w:t>
      </w:r>
    </w:p>
    <w:p>
      <w:r>
        <w:rPr>
          <w:b w:val="0"/>
          <w:i w:val="0"/>
        </w:rPr>
        <w:t>Sample Size Calculation: 300 patients total (150 per arm). Based on expected 15% reduction in MACE at 12 months (treatment arm 12% vs placebo 14.5%), 80% power, two-sided α 0.05, 20% dropout rate. Event-driven analysis: 60 primary events required.</w:t>
      </w:r>
    </w:p>
    <w:p>
      <w:pPr>
        <w:pStyle w:val="Heading2"/>
      </w:pPr>
      <w:r>
        <w:t>5. Dosage &amp; Administration</w:t>
      </w:r>
    </w:p>
    <w:p>
      <w:r>
        <w:rPr>
          <w:b w:val="0"/>
          <w:i w:val="0"/>
        </w:rPr>
        <w:t>Cardivex 10mg: One tablet orally once daily, in the morning with food. Placebo: One matching tablet orally once daily. Treatment Duration: 12 months. Dose modifications: Not permitted. Study drug discontinuation required for: CK &gt; 10× ULN, ALT/AST &gt; 5× ULN, or any SAE assessed as related to study drug.</w:t>
      </w:r>
    </w:p>
    <w:p>
      <w:pPr>
        <w:pStyle w:val="Heading2"/>
      </w:pPr>
      <w:r>
        <w:t>6. Statistical Analysis Plan</w:t>
      </w:r>
    </w:p>
    <w:p>
      <w:r>
        <w:rPr>
          <w:b w:val="0"/>
          <w:i w:val="0"/>
        </w:rPr>
        <w:t>Primary analysis: ANCOVA with baseline HbA1c and randomisation strata as covariates. ITT population. Missing data: Multiple imputation (MI) using MICE algorithm. Multiplicity: Hierarchical testing — primary endpoint first, then secondary endpoints in pre-specified order. Interim analysis: One planned at 50% events by independent DSMB.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