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D7A"/>
        </w:rPr>
        <w:t>CLINICAL STUDY PROTOCOL — AMENDMENT 3.0</w:t>
      </w:r>
    </w:p>
    <w:p>
      <w:r>
        <w:rPr>
          <w:b/>
          <w:sz w:val="20"/>
        </w:rPr>
        <w:t xml:space="preserve">Protocol No.: </w:t>
      </w:r>
      <w:r>
        <w:rPr>
          <w:sz w:val="20"/>
        </w:rPr>
        <w:t>PSI-CV-2023-01</w:t>
      </w:r>
    </w:p>
    <w:p>
      <w:r>
        <w:rPr>
          <w:b/>
          <w:sz w:val="20"/>
        </w:rPr>
        <w:t xml:space="preserve">Version: </w:t>
      </w:r>
      <w:r>
        <w:rPr>
          <w:sz w:val="20"/>
        </w:rPr>
        <w:t>3.0</w:t>
      </w:r>
    </w:p>
    <w:p>
      <w:r>
        <w:rPr>
          <w:b/>
          <w:sz w:val="20"/>
        </w:rPr>
        <w:t xml:space="preserve">Date: </w:t>
      </w:r>
      <w:r>
        <w:rPr>
          <w:sz w:val="20"/>
        </w:rPr>
        <w:t>10 March 2024</w:t>
      </w:r>
    </w:p>
    <w:p>
      <w:r>
        <w:rPr>
          <w:b/>
          <w:sz w:val="20"/>
        </w:rPr>
        <w:t xml:space="preserve">Drug: </w:t>
      </w:r>
      <w:r>
        <w:rPr>
          <w:sz w:val="20"/>
        </w:rPr>
        <w:t>Cardivex 10mg / 20mg (Dose Escalation Added)</w:t>
      </w:r>
    </w:p>
    <w:p>
      <w:r>
        <w:rPr>
          <w:b/>
          <w:sz w:val="20"/>
        </w:rPr>
        <w:t xml:space="preserve">Sponsor: </w:t>
      </w:r>
      <w:r>
        <w:rPr>
          <w:sz w:val="20"/>
        </w:rPr>
        <w:t>Pharma Solutions India Pvt. Ltd., Mumbai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Study Objectives</w:t>
      </w:r>
    </w:p>
    <w:p>
      <w:pPr>
        <w:pStyle w:val="Heading3"/>
      </w:pPr>
      <w:r>
        <w:t>1.1 Primary Objective</w:t>
      </w:r>
    </w:p>
    <w:p>
      <w:r>
        <w:rPr>
          <w:b w:val="0"/>
          <w:i w:val="0"/>
        </w:rPr>
        <w:t>To evaluate the efficacy of Cardivex 10mg and 20mg versus placebo in reducing major adverse cardiovascular events (MACE — defined as cardiovascular death, non-fatal MI, non-fatal stroke, or hospitalisation for unstable angina) over 18 months of treatment in adults aged 18–70 years with established cardiovascular disease or high cardiovascular risk and LDL-C ≥ 100 mg/dL despite statin therapy.</w:t>
      </w:r>
    </w:p>
    <w:p>
      <w:r>
        <w:rPr>
          <w:b w:val="0"/>
          <w:i/>
          <w:color w:val="8B0000"/>
        </w:rPr>
        <w:t>[AMENDMENT NOTE v3.0: MACE definition expanded to include hospitalisation for unstable angina (4-point MACE). Age range extended to 70 years based on regulatory feedback. LDL threshold reduced from 130 to 100 mg/dL to increase eligible population. Duration extended from 12 to 18 months to capture mortality benefit.]</w:t>
      </w:r>
    </w:p>
    <w:p>
      <w:pPr>
        <w:pStyle w:val="Heading3"/>
      </w:pPr>
      <w:r>
        <w:t>1.2 Secondary Objectives</w:t>
      </w:r>
    </w:p>
    <w:p>
      <w:pPr>
        <w:pStyle w:val="ListBullet"/>
      </w:pPr>
      <w:r>
        <w:t>Change from baseline in LDL-C at 18 months</w:t>
      </w:r>
    </w:p>
    <w:p>
      <w:pPr>
        <w:pStyle w:val="ListBullet"/>
      </w:pPr>
      <w:r>
        <w:t>Change from baseline in total cholesterol, HDL-C, TG, Lp(a) at 18 months [Lp(a) added in v3.0]</w:t>
      </w:r>
    </w:p>
    <w:p>
      <w:pPr>
        <w:pStyle w:val="ListBullet"/>
      </w:pPr>
      <w:r>
        <w:t>Incidence of individual 4-point MACE components</w:t>
      </w:r>
    </w:p>
    <w:p>
      <w:pPr>
        <w:pStyle w:val="ListBullet"/>
      </w:pPr>
      <w:r>
        <w:t>All-cause mortality</w:t>
      </w:r>
    </w:p>
    <w:p>
      <w:pPr>
        <w:pStyle w:val="ListBullet"/>
      </w:pPr>
      <w:r>
        <w:t>Hospitalisation for heart failure (new endpoint added v3.0)</w:t>
      </w:r>
    </w:p>
    <w:p>
      <w:pPr>
        <w:pStyle w:val="ListBullet"/>
      </w:pPr>
      <w:r>
        <w:t>Patient-reported outcomes — SF-36 Quality of Life (new endpoint added v3.0)</w:t>
      </w:r>
    </w:p>
    <w:p>
      <w:pPr>
        <w:pStyle w:val="ListBullet"/>
      </w:pPr>
      <w:r>
        <w:t>Safety and tolerability (AEs, SAEs, laboratory parameters, vital signs)</w:t>
      </w:r>
    </w:p>
    <w:p>
      <w:pPr>
        <w:pStyle w:val="ListBullet"/>
      </w:pPr>
      <w:r>
        <w:t>Renal composite endpoint: ≥40% decline in eGFR, renal death, or ESKD (new endpoint added v3.0)</w:t>
      </w:r>
    </w:p>
    <w:p>
      <w:pPr>
        <w:pStyle w:val="Heading2"/>
      </w:pPr>
      <w:r>
        <w:t>2. Study Design</w:t>
      </w:r>
    </w:p>
    <w:p>
      <w:r>
        <w:rPr>
          <w:b/>
          <w:sz w:val="20"/>
        </w:rPr>
        <w:t xml:space="preserve">Design: </w:t>
      </w:r>
      <w:r>
        <w:rPr>
          <w:sz w:val="20"/>
        </w:rPr>
        <w:t>Randomised, Double-Blind, Placebo-Controlled, Parallel-Group, Multicentre</w:t>
      </w:r>
    </w:p>
    <w:p>
      <w:r>
        <w:rPr>
          <w:b/>
          <w:sz w:val="20"/>
        </w:rPr>
        <w:t xml:space="preserve">Phase: </w:t>
      </w:r>
      <w:r>
        <w:rPr>
          <w:sz w:val="20"/>
        </w:rPr>
        <w:t>Phase III</w:t>
      </w:r>
    </w:p>
    <w:p>
      <w:r>
        <w:rPr>
          <w:b/>
          <w:sz w:val="20"/>
        </w:rPr>
        <w:t xml:space="preserve">Treatment Arms: </w:t>
      </w:r>
      <w:r>
        <w:rPr>
          <w:sz w:val="20"/>
        </w:rPr>
        <w:t>Arm A: Cardivex 10mg OD + Placebo (for 20mg)</w:t>
      </w:r>
    </w:p>
    <w:p>
      <w:r>
        <w:rPr>
          <w:b/>
          <w:sz w:val="20"/>
        </w:rPr>
        <w:t xml:space="preserve">: </w:t>
      </w:r>
      <w:r>
        <w:rPr>
          <w:sz w:val="20"/>
        </w:rPr>
        <w:t>Arm B: Cardivex 20mg OD + Placebo (for 10mg) [NEW IN v3.0]</w:t>
      </w:r>
    </w:p>
    <w:p>
      <w:r>
        <w:rPr>
          <w:b/>
          <w:sz w:val="20"/>
        </w:rPr>
        <w:t xml:space="preserve">: </w:t>
      </w:r>
      <w:r>
        <w:rPr>
          <w:sz w:val="20"/>
        </w:rPr>
        <w:t>Arm C: Placebo OD</w:t>
      </w:r>
    </w:p>
    <w:p>
      <w:r>
        <w:rPr>
          <w:b/>
          <w:sz w:val="20"/>
        </w:rPr>
        <w:t xml:space="preserve">Duration: </w:t>
      </w:r>
      <w:r>
        <w:rPr>
          <w:sz w:val="20"/>
        </w:rPr>
        <w:t>18 months (primary) + 6 months safety follow-up</w:t>
      </w:r>
    </w:p>
    <w:p>
      <w:r>
        <w:rPr>
          <w:b/>
          <w:sz w:val="20"/>
        </w:rPr>
        <w:t xml:space="preserve">Randomisation: </w:t>
      </w:r>
      <w:r>
        <w:rPr>
          <w:sz w:val="20"/>
        </w:rPr>
        <w:t>1:1:1 (Cardivex 10mg : Cardivex 20mg : Placebo)</w:t>
      </w:r>
    </w:p>
    <w:p>
      <w:pPr>
        <w:pStyle w:val="Heading2"/>
      </w:pPr>
      <w:r>
        <w:t>3. Study Population</w:t>
      </w:r>
    </w:p>
    <w:p>
      <w:pPr>
        <w:pStyle w:val="Heading3"/>
      </w:pPr>
      <w:r>
        <w:t>3.1 Inclusion Criteria</w:t>
      </w:r>
    </w:p>
    <w:p>
      <w:pPr>
        <w:pStyle w:val="ListBullet"/>
      </w:pPr>
      <w:r>
        <w:t>Age 18–70 years at time of screening [AMENDED from 65 in v3.0]</w:t>
      </w:r>
    </w:p>
    <w:p>
      <w:pPr>
        <w:pStyle w:val="ListBullet"/>
      </w:pPr>
      <w:r>
        <w:t>Established cardiovascular disease (prior MI, stroke, or symptomatic PAD) OR high cardiovascular risk (diabetes + ≥ 2 risk factors) [AMENDED in v3.0]</w:t>
      </w:r>
    </w:p>
    <w:p>
      <w:pPr>
        <w:pStyle w:val="ListBullet"/>
      </w:pPr>
      <w:r>
        <w:t>LDL-C ≥ 100 mg/dL despite statin therapy for ≥ 3 months [AMENDED from 130 in v3.0]</w:t>
      </w:r>
    </w:p>
    <w:p>
      <w:pPr>
        <w:pStyle w:val="ListBullet"/>
      </w:pPr>
      <w:r>
        <w:t>On stable background statin therapy for ≥ 3 months</w:t>
      </w:r>
    </w:p>
    <w:p>
      <w:pPr>
        <w:pStyle w:val="ListBullet"/>
      </w:pPr>
      <w:r>
        <w:t>eGFR ≥ 30 mL/min/1.73m² (renal criterion added in v3.0 for renal endpoint validity)</w:t>
      </w:r>
    </w:p>
    <w:p>
      <w:pPr>
        <w:pStyle w:val="ListBullet"/>
      </w:pPr>
      <w:r>
        <w:t>Willing and able to provide informed consent</w:t>
      </w:r>
    </w:p>
    <w:p>
      <w:pPr>
        <w:pStyle w:val="Heading3"/>
      </w:pPr>
      <w:r>
        <w:t>3.2 Exclusion Criteria</w:t>
      </w:r>
    </w:p>
    <w:p>
      <w:pPr>
        <w:pStyle w:val="ListBullet"/>
      </w:pPr>
      <w:r>
        <w:t>Severe renal impairment (eGFR &lt; 15 mL/min/1.73m²) [AMENDED from &lt;30 in v3.0 — to allow CKD Stage 3-4 patients for renal endpoint]</w:t>
      </w:r>
    </w:p>
    <w:p>
      <w:pPr>
        <w:pStyle w:val="ListBullet"/>
      </w:pPr>
      <w:r>
        <w:t>Active liver disease or ALT/AST &gt; 3× ULN</w:t>
      </w:r>
    </w:p>
    <w:p>
      <w:pPr>
        <w:pStyle w:val="ListBullet"/>
      </w:pPr>
      <w:r>
        <w:t>Known statin intolerance or previous rhabdomyolysis on any statin [AMENDED — rhabdomyolysis exclusion added post SAE-2024-MH-0341]</w:t>
      </w:r>
    </w:p>
    <w:p>
      <w:pPr>
        <w:pStyle w:val="ListBullet"/>
      </w:pPr>
      <w:r>
        <w:t>NYHA Class IV heart failure</w:t>
      </w:r>
    </w:p>
    <w:p>
      <w:pPr>
        <w:pStyle w:val="ListBullet"/>
      </w:pPr>
      <w:r>
        <w:t>Life expectancy &lt; 18 months [AMENDED from 12 months]</w:t>
      </w:r>
    </w:p>
    <w:p>
      <w:pPr>
        <w:pStyle w:val="ListBullet"/>
      </w:pPr>
      <w:r>
        <w:t>Current participation in another interventional trial</w:t>
      </w:r>
    </w:p>
    <w:p>
      <w:pPr>
        <w:pStyle w:val="ListBullet"/>
      </w:pPr>
      <w:r>
        <w:t>Pregnancy or breastfeeding</w:t>
      </w:r>
    </w:p>
    <w:p>
      <w:pPr>
        <w:pStyle w:val="ListBullet"/>
      </w:pPr>
      <w:r>
        <w:t>Organ transplant recipients on immunosuppressants [NEW EXCLUSION — drug interaction risk v3.0]</w:t>
      </w:r>
    </w:p>
    <w:p>
      <w:pPr>
        <w:pStyle w:val="ListBullet"/>
      </w:pPr>
      <w:r>
        <w:t>Active malignancy within 5 years [NEW EXCLUSION v3.0]</w:t>
      </w:r>
    </w:p>
    <w:p>
      <w:pPr>
        <w:pStyle w:val="Heading2"/>
      </w:pPr>
      <w:r>
        <w:t>4. Sample Size</w:t>
      </w:r>
    </w:p>
    <w:p>
      <w:r>
        <w:rPr>
          <w:b w:val="0"/>
          <w:i w:val="0"/>
        </w:rPr>
        <w:t>Sample Size Calculation (AMENDED v3.0): 450 patients total (150 per arm × 3 arms). Based on expected 18% reduction in 4-point MACE at 18 months (treatment arm 10% vs placebo 12.5%), 85% power (increased from 80%), two-sided α 0.05, 25% dropout rate (increased from 20% due to extended duration). Event-driven analysis: 90 primary events required.</w:t>
        <w:br/>
        <w:t>[RATIONALE FOR INCREASE: Additional arm, extended duration, expanded MACE definition, and higher power requirement per DSMB recommendation at interim analysis dated 20 February 2024.]</w:t>
      </w:r>
    </w:p>
    <w:p>
      <w:pPr>
        <w:pStyle w:val="Heading2"/>
      </w:pPr>
      <w:r>
        <w:t>5. Dosage &amp; Administration</w:t>
      </w:r>
    </w:p>
    <w:p>
      <w:r>
        <w:rPr>
          <w:b w:val="0"/>
          <w:i w:val="0"/>
        </w:rPr>
        <w:t>Cardivex 10mg Arm: One 10mg tablet + one matching placebo (for 20mg) orally once daily, in the morning with food.</w:t>
        <w:br/>
        <w:t>Cardivex 20mg Arm (NEW v3.0): One 20mg tablet + one matching placebo (for 10mg) orally once daily, in the morning with food. Dose escalation from 10mg to 20mg at Week 4 visit if 10mg tolerated (CK &lt; 5× ULN, no myalgia).</w:t>
        <w:br/>
        <w:t>Placebo Arm: Two matching placebo tablets once daily.</w:t>
        <w:br/>
        <w:t xml:space="preserve">Treatment Duration: 18 months. </w:t>
        <w:br/>
        <w:t>Safety stopping rules: Permanent discontinuation required if CK &gt; 10× ULN with symptoms OR CK &gt; 40× ULN (asymptomatic). [UPDATED per rhabdomyolysis SAE — earlier stopping threshold added.]</w:t>
      </w:r>
    </w:p>
    <w:p>
      <w:pPr>
        <w:pStyle w:val="Heading2"/>
      </w:pPr>
      <w:r>
        <w:t>6. Statistical Analysis Plan</w:t>
      </w:r>
    </w:p>
    <w:p>
      <w:r>
        <w:rPr>
          <w:b w:val="0"/>
          <w:i w:val="0"/>
        </w:rPr>
        <w:t>[AMENDED v3.0] Primary analysis: Cox proportional hazards model with treatment arm, country, baseline LDL-C stratum, and cardiovascular risk category as covariates. Time-to-first-event analysis. ITT and Per Protocol populations both reported. Missing data: Multiple imputation with pattern mixture model sensitivity analysis. Multiplicity: Hierarchical gatekeeping procedure — 3 arms require Bonferroni-Holm correction for pairwise comparisons. Interim analyses: Two planned — at 30% and 60% events by independent DSMB with O'Brien-Fleming spending function. [Statistical Analysis Plan v3.0 attached as Appendix G — previously absent in v2.0 submission, now included as separate document per CDSCO request dated 12 February 2024]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