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MERK Project Infrastructure Requirements</w:t>
      </w:r>
    </w:p>
    <w:p>
      <w:r>
        <w:t>Fee Schedule Automation | Dev QA and Production | 28 October 2026</w:t>
      </w:r>
    </w:p>
    <w:p>
      <w:pPr>
        <w:pStyle w:val="Heading1"/>
      </w:pPr>
      <w:r>
        <w:t>Project purpose</w:t>
      </w:r>
    </w:p>
    <w:p>
      <w:r>
        <w:t>The MERK project automates extraction and interpretation of healthcare fee schedule documents. Business users upload files from source websites to SharePoint. The application extracts document data, interprets comments using Azure OpenAI, and compares records using defined business rules. Results are stored for review and downstream processing by the application team.</w:t>
      </w:r>
    </w:p>
    <w:p>
      <w:pPr>
        <w:pStyle w:val="Heading1"/>
      </w:pPr>
      <w:r>
        <w:t>Processing flow</w:t>
      </w:r>
    </w:p>
    <w:p>
      <w:pPr>
        <w:pStyle w:val="Heading2"/>
      </w:pPr>
      <w:r>
        <w:t>1  Document intake</w:t>
      </w:r>
    </w:p>
    <w:p>
      <w:r>
        <w:t>A scheduled Azure Function calls Microsoft Graph Delta API to identify new or updated files in the designated SharePoint folder and copy them to Azure Blob Storage. Persist synchronization checkpoints and file versions.</w:t>
      </w:r>
    </w:p>
    <w:p>
      <w:pPr>
        <w:pStyle w:val="Heading2"/>
      </w:pPr>
      <w:r>
        <w:t>2  File extraction</w:t>
      </w:r>
    </w:p>
    <w:p>
      <w:r>
        <w:t>A Function reads files from Blob Storage and extracts tables, text, notes, and metadata. It writes the extracted records into input tables in SQL Server on the MERK Azure VM.</w:t>
      </w:r>
    </w:p>
    <w:p>
      <w:pPr>
        <w:pStyle w:val="Heading2"/>
      </w:pPr>
      <w:r>
        <w:t>3  AI processing</w:t>
      </w:r>
    </w:p>
    <w:p>
      <w:r>
        <w:t>A Function reads MERK input records, interprets comments through Azure OpenAI, and applies comparison rules. It writes AI results, comments, and processing status into separate output tables in the same MERK database.</w:t>
      </w:r>
    </w:p>
    <w:p>
      <w:pPr>
        <w:pStyle w:val="Heading2"/>
      </w:pPr>
      <w:r>
        <w:t>4  Review and downstream handoff</w:t>
      </w:r>
    </w:p>
    <w:p>
      <w:r>
        <w:t>Users review status and results through a frontend hosted in Azure Web App. Backend APIs access MERK SQL. The application team processes the output and sends it to the appropriate QNXT database.</w:t>
      </w:r>
    </w:p>
    <w:p>
      <w:r>
        <w:t>Functions are hosted in Azure Functions, separately from the MERK VM. Graph Delta API is polled by the intake code; it is not an automatic file-arrival trigger. Extraction and AI processing run repeatedly for new or pending work.</w:t>
      </w:r>
    </w:p>
    <w:p>
      <w:pPr>
        <w:pStyle w:val="Heading1"/>
      </w:pPr>
      <w:r>
        <w:t>Infrastructure request</w:t>
      </w:r>
    </w:p>
    <w:p>
      <w:r>
        <w:t>Provision the additional Dev services and establish QA and Production environments described in this document. Use approved naming, security, networking, and tagging standards. Assign suitable shared services where permitted and provide separate application configuration, identities, data access, and telemetry for each environment.</w:t>
      </w:r>
    </w:p>
    <w:p>
      <w:r>
        <w:t>The immediate Dev additions are Azure Web App, LangSmith, Application Insights, and Azure Monitor with Log Analytics configuration. QA and Production require the storage, processing, AI, frontend, and monitoring services listed on the following page.</w:t>
      </w:r>
    </w:p>
    <w:p>
      <w:r>
        <w:br w:type="page"/>
      </w:r>
    </w:p>
    <w:p>
      <w:pPr>
        <w:pStyle w:val="Heading1"/>
      </w:pPr>
      <w:r>
        <w:t>Services and environment requirements</w:t>
      </w:r>
    </w:p>
    <w:p>
      <w:r>
        <w:t>Dev storage, Function App, and Azure OpenAI are existing resources to reuse. Provision or assign the following services for QA and Production. Establish database endpoints with the DBA team before enabling processing.</w:t>
      </w:r>
    </w:p>
    <w:tbl>
      <w:tblPr>
        <w:tblW w:type="auto" w:w="0"/>
        <w:tblLayout w:type="fixed"/>
        <w:tblLook w:firstColumn="1" w:firstRow="1" w:lastColumn="0" w:lastRow="0" w:noHBand="0" w:noVBand="1" w:val="04A0"/>
      </w:tblPr>
      <w:tblGrid>
        <w:gridCol w:w="2088"/>
        <w:gridCol w:w="3816"/>
        <w:gridCol w:w="1728"/>
        <w:gridCol w:w="2448"/>
      </w:tblGrid>
      <w:tr>
        <w:trPr>
          <w:tblHeader/>
          <w:cantSplit/>
        </w:trPr>
        <w:tc>
          <w:tcPr>
            <w:tcW w:type="dxa" w:w="2520"/>
            <w:tcBorders>
              <w:top w:val="single" w:sz="4" w:color="D9D9D9"/>
              <w:left w:val="single" w:sz="4" w:color="D9D9D9"/>
              <w:bottom w:val="single" w:sz="4" w:color="D9D9D9"/>
              <w:right w:val="single" w:sz="4" w:color="D9D9D9"/>
            </w:tcBorders>
            <w:tcMar>
              <w:top w:w="80" w:type="dxa"/>
              <w:left w:w="80" w:type="dxa"/>
              <w:bottom w:w="80" w:type="dxa"/>
              <w:right w:w="80" w:type="dxa"/>
            </w:tcMar>
            <w:shd w:fill="E8EEF4"/>
          </w:tcPr>
          <w:p>
            <w:pPr>
              <w:spacing w:after="40" w:before="40"/>
            </w:pPr>
            <w:r>
              <w:rPr>
                <w:b/>
                <w:sz w:val="20"/>
              </w:rPr>
              <w:t>Service</w:t>
            </w:r>
          </w:p>
        </w:tc>
        <w:tc>
          <w:tcPr>
            <w:tcW w:type="dxa" w:w="2520"/>
            <w:tcBorders>
              <w:top w:val="single" w:sz="4" w:color="D9D9D9"/>
              <w:left w:val="single" w:sz="4" w:color="D9D9D9"/>
              <w:bottom w:val="single" w:sz="4" w:color="D9D9D9"/>
              <w:right w:val="single" w:sz="4" w:color="D9D9D9"/>
            </w:tcBorders>
            <w:tcMar>
              <w:top w:w="80" w:type="dxa"/>
              <w:left w:w="80" w:type="dxa"/>
              <w:bottom w:w="80" w:type="dxa"/>
              <w:right w:w="80" w:type="dxa"/>
            </w:tcMar>
            <w:shd w:fill="E8EEF4"/>
          </w:tcPr>
          <w:p>
            <w:pPr>
              <w:spacing w:after="40" w:before="40"/>
            </w:pPr>
            <w:r>
              <w:rPr>
                <w:b/>
                <w:sz w:val="20"/>
              </w:rPr>
              <w:t>Purpose</w:t>
            </w:r>
          </w:p>
        </w:tc>
        <w:tc>
          <w:tcPr>
            <w:tcW w:type="dxa" w:w="2520"/>
            <w:tcBorders>
              <w:top w:val="single" w:sz="4" w:color="D9D9D9"/>
              <w:left w:val="single" w:sz="4" w:color="D9D9D9"/>
              <w:bottom w:val="single" w:sz="4" w:color="D9D9D9"/>
              <w:right w:val="single" w:sz="4" w:color="D9D9D9"/>
            </w:tcBorders>
            <w:tcMar>
              <w:top w:w="80" w:type="dxa"/>
              <w:left w:w="80" w:type="dxa"/>
              <w:bottom w:w="80" w:type="dxa"/>
              <w:right w:w="80" w:type="dxa"/>
            </w:tcMar>
            <w:shd w:fill="E8EEF4"/>
          </w:tcPr>
          <w:p>
            <w:pPr>
              <w:spacing w:after="40" w:before="40"/>
            </w:pPr>
            <w:r>
              <w:rPr>
                <w:b/>
                <w:sz w:val="20"/>
              </w:rPr>
              <w:t>Dev</w:t>
            </w:r>
          </w:p>
        </w:tc>
        <w:tc>
          <w:tcPr>
            <w:tcW w:type="dxa" w:w="2520"/>
            <w:tcBorders>
              <w:top w:val="single" w:sz="4" w:color="D9D9D9"/>
              <w:left w:val="single" w:sz="4" w:color="D9D9D9"/>
              <w:bottom w:val="single" w:sz="4" w:color="D9D9D9"/>
              <w:right w:val="single" w:sz="4" w:color="D9D9D9"/>
            </w:tcBorders>
            <w:tcMar>
              <w:top w:w="80" w:type="dxa"/>
              <w:left w:w="80" w:type="dxa"/>
              <w:bottom w:w="80" w:type="dxa"/>
              <w:right w:w="80" w:type="dxa"/>
            </w:tcMar>
            <w:shd w:fill="E8EEF4"/>
          </w:tcPr>
          <w:p>
            <w:pPr>
              <w:spacing w:after="40" w:before="40"/>
            </w:pPr>
            <w:r>
              <w:rPr>
                <w:b/>
                <w:sz w:val="20"/>
              </w:rPr>
              <w:t>QA and Prod</w:t>
            </w:r>
          </w:p>
        </w:tc>
      </w:tr>
      <w:tr>
        <w:trPr>
          <w:cantSplit/>
        </w:trPr>
        <w:tc>
          <w:tcPr>
            <w:tcW w:type="dxa" w:w="20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Blob Storage and ADLS Gen2</w:t>
            </w:r>
          </w:p>
        </w:tc>
        <w:tc>
          <w:tcPr>
            <w:tcW w:type="dxa" w:w="381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Store incoming documents and retained processing artifacts.</w:t>
            </w:r>
          </w:p>
        </w:tc>
        <w:tc>
          <w:tcPr>
            <w:tcW w:type="dxa" w:w="172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Reuse existing</w:t>
            </w:r>
          </w:p>
        </w:tc>
        <w:tc>
          <w:tcPr>
            <w:tcW w:type="dxa" w:w="24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Provision per environment</w:t>
            </w:r>
          </w:p>
        </w:tc>
      </w:tr>
      <w:tr>
        <w:trPr>
          <w:cantSplit/>
        </w:trPr>
        <w:tc>
          <w:tcPr>
            <w:tcW w:type="dxa" w:w="208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Azure Function App</w:t>
            </w:r>
          </w:p>
        </w:tc>
        <w:tc>
          <w:tcPr>
            <w:tcW w:type="dxa" w:w="3816"/>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Run intake, extraction, AI processing, and backend APIs.</w:t>
            </w:r>
          </w:p>
        </w:tc>
        <w:tc>
          <w:tcPr>
            <w:tcW w:type="dxa" w:w="172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Reuse existing</w:t>
            </w:r>
          </w:p>
        </w:tc>
        <w:tc>
          <w:tcPr>
            <w:tcW w:type="dxa" w:w="244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Provision per environment</w:t>
            </w:r>
          </w:p>
        </w:tc>
      </w:tr>
      <w:tr>
        <w:trPr>
          <w:cantSplit/>
        </w:trPr>
        <w:tc>
          <w:tcPr>
            <w:tcW w:type="dxa" w:w="20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Azure OpenAI</w:t>
            </w:r>
          </w:p>
        </w:tc>
        <w:tc>
          <w:tcPr>
            <w:tcW w:type="dxa" w:w="381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Interpret document comments and business language.</w:t>
            </w:r>
          </w:p>
        </w:tc>
        <w:tc>
          <w:tcPr>
            <w:tcW w:type="dxa" w:w="172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Reuse existing</w:t>
            </w:r>
          </w:p>
        </w:tc>
        <w:tc>
          <w:tcPr>
            <w:tcW w:type="dxa" w:w="24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Provision resource access and model deployment per environment</w:t>
            </w:r>
          </w:p>
        </w:tc>
      </w:tr>
      <w:tr>
        <w:trPr>
          <w:cantSplit/>
        </w:trPr>
        <w:tc>
          <w:tcPr>
            <w:tcW w:type="dxa" w:w="208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Azure Web App and hosting plan</w:t>
            </w:r>
          </w:p>
        </w:tc>
        <w:tc>
          <w:tcPr>
            <w:tcW w:type="dxa" w:w="3816"/>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Host the frontend review application.</w:t>
            </w:r>
          </w:p>
        </w:tc>
        <w:tc>
          <w:tcPr>
            <w:tcW w:type="dxa" w:w="172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Provision</w:t>
            </w:r>
          </w:p>
        </w:tc>
        <w:tc>
          <w:tcPr>
            <w:tcW w:type="dxa" w:w="244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Provision per environment</w:t>
            </w:r>
          </w:p>
        </w:tc>
      </w:tr>
      <w:tr>
        <w:trPr>
          <w:cantSplit/>
        </w:trPr>
        <w:tc>
          <w:tcPr>
            <w:tcW w:type="dxa" w:w="20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Application Insights</w:t>
            </w:r>
          </w:p>
        </w:tc>
        <w:tc>
          <w:tcPr>
            <w:tcW w:type="dxa" w:w="381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Track requests, exceptions, latency, and dependencies.</w:t>
            </w:r>
          </w:p>
        </w:tc>
        <w:tc>
          <w:tcPr>
            <w:tcW w:type="dxa" w:w="172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Provision or assign</w:t>
            </w:r>
          </w:p>
        </w:tc>
        <w:tc>
          <w:tcPr>
            <w:tcW w:type="dxa" w:w="24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Separate application instances</w:t>
            </w:r>
          </w:p>
        </w:tc>
      </w:tr>
      <w:tr>
        <w:trPr>
          <w:cantSplit/>
        </w:trPr>
        <w:tc>
          <w:tcPr>
            <w:tcW w:type="dxa" w:w="208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Log Analytics workspace</w:t>
            </w:r>
          </w:p>
        </w:tc>
        <w:tc>
          <w:tcPr>
            <w:tcW w:type="dxa" w:w="3816"/>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Centralize logs and support KQL investigations.</w:t>
            </w:r>
          </w:p>
        </w:tc>
        <w:tc>
          <w:tcPr>
            <w:tcW w:type="dxa" w:w="172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Provision or assign</w:t>
            </w:r>
          </w:p>
        </w:tc>
        <w:tc>
          <w:tcPr>
            <w:tcW w:type="dxa" w:w="244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Provision or assign under isolation policy</w:t>
            </w:r>
          </w:p>
        </w:tc>
      </w:tr>
      <w:tr>
        <w:trPr>
          <w:cantSplit/>
        </w:trPr>
        <w:tc>
          <w:tcPr>
            <w:tcW w:type="dxa" w:w="20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Azure Monitor alerts</w:t>
            </w:r>
          </w:p>
        </w:tc>
        <w:tc>
          <w:tcPr>
            <w:tcW w:type="dxa" w:w="381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Monitor health and failures and notify support.</w:t>
            </w:r>
          </w:p>
        </w:tc>
        <w:tc>
          <w:tcPr>
            <w:tcW w:type="dxa" w:w="172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Configure</w:t>
            </w:r>
          </w:p>
        </w:tc>
        <w:tc>
          <w:tcPr>
            <w:tcW w:type="dxa" w:w="24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Configure per environment</w:t>
            </w:r>
          </w:p>
        </w:tc>
      </w:tr>
      <w:tr>
        <w:trPr>
          <w:cantSplit/>
        </w:trPr>
        <w:tc>
          <w:tcPr>
            <w:tcW w:type="dxa" w:w="208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LangSmith</w:t>
            </w:r>
          </w:p>
        </w:tc>
        <w:tc>
          <w:tcPr>
            <w:tcW w:type="dxa" w:w="3816"/>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Trace and evaluate AI processing and token usage.</w:t>
            </w:r>
          </w:p>
        </w:tc>
        <w:tc>
          <w:tcPr>
            <w:tcW w:type="dxa" w:w="172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Assign Dev project</w:t>
            </w:r>
          </w:p>
        </w:tc>
        <w:tc>
          <w:tcPr>
            <w:tcW w:type="dxa" w:w="244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Separate QA and Prod projects</w:t>
            </w:r>
          </w:p>
        </w:tc>
      </w:tr>
      <w:tr>
        <w:trPr>
          <w:cantSplit/>
        </w:trPr>
        <w:tc>
          <w:tcPr>
            <w:tcW w:type="dxa" w:w="20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Key Vault</w:t>
            </w:r>
          </w:p>
        </w:tc>
        <w:tc>
          <w:tcPr>
            <w:tcW w:type="dxa" w:w="381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Store secrets and application configuration references.</w:t>
            </w:r>
          </w:p>
        </w:tc>
        <w:tc>
          <w:tcPr>
            <w:tcW w:type="dxa" w:w="172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Reuse existing</w:t>
            </w:r>
          </w:p>
        </w:tc>
        <w:tc>
          <w:tcPr>
            <w:tcW w:type="dxa" w:w="24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Provision or assign per environment</w:t>
            </w:r>
          </w:p>
        </w:tc>
      </w:tr>
      <w:tr>
        <w:trPr>
          <w:cantSplit/>
        </w:trPr>
        <w:tc>
          <w:tcPr>
            <w:tcW w:type="dxa" w:w="208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SQL Server database access</w:t>
            </w:r>
          </w:p>
        </w:tc>
        <w:tc>
          <w:tcPr>
            <w:tcW w:type="dxa" w:w="3816"/>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Store input data, AI results, comments, and status.</w:t>
            </w:r>
          </w:p>
        </w:tc>
        <w:tc>
          <w:tcPr>
            <w:tcW w:type="dxa" w:w="172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Existing MERK SQL</w:t>
            </w:r>
          </w:p>
        </w:tc>
        <w:tc>
          <w:tcPr>
            <w:tcW w:type="dxa" w:w="244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20"/>
              </w:rPr>
              <w:t>Confirm target databases and provision access</w:t>
            </w:r>
          </w:p>
        </w:tc>
      </w:tr>
    </w:tbl>
    <w:p>
      <w:pPr>
        <w:spacing w:before="140"/>
      </w:pPr>
      <w:r>
        <w:t>Storage design: use an ADLS Gen2 enabled storage account with suitable containers where it meets the application requirements. Blob and Data Lake access do not automatically require separate storage accounts. Determine account separation from security, lifecycle, and operational requirements.</w:t>
      </w:r>
    </w:p>
    <w:p>
      <w:r>
        <w:t>Azure Monitor is a platform configuration request, including alert rules, dashboards, and notification Action Groups. LangSmith requires an approved organization/project and deployment model; it may be administered outside the Azure subscription.</w:t>
      </w:r>
    </w:p>
    <w:p>
      <w:r>
        <w:br w:type="page"/>
      </w:r>
    </w:p>
    <w:p>
      <w:pPr>
        <w:pStyle w:val="Heading1"/>
      </w:pPr>
      <w:r>
        <w:t>Required configuration and ownership</w:t>
      </w:r>
    </w:p>
    <w:p>
      <w:pPr>
        <w:pStyle w:val="Heading2"/>
      </w:pPr>
      <w:r>
        <w:t>Network and identity</w:t>
      </w:r>
    </w:p>
    <w:p>
      <w:r>
        <w:t>Cloud infrastructure must configure Function App outbound VNet integration, DNS, and access to the MERK VM SQL port. Configure service private endpoints where required by policy. Coordinate NSG and firewall rules with networking and SQL authentication, TLS, and table permissions with the DBA team. Provision QA and Production network paths independently.</w:t>
      </w:r>
    </w:p>
    <w:p>
      <w:r>
        <w:t>The SharePoint and Entra teams must provide the application identity, approved Microsoft Graph permissions, and explicit access to the required site or folder scope. Configure supported managed identities for Azure resource access. Store required credentials in Key Vault and allow approved outbound HTTPS traffic to Microsoft Graph and LangSmith.</w:t>
      </w:r>
    </w:p>
    <w:p>
      <w:pPr>
        <w:pStyle w:val="Heading2"/>
      </w:pPr>
      <w:r>
        <w:t>Frontend and deployment</w:t>
      </w:r>
    </w:p>
    <w:p>
      <w:r>
        <w:t>Provision Web Apps for code-based deployment with the selected frontend runtime and hosting plan. Configure HTTPS, Entra sign-in, authorized user groups, and backend API connectivity. Browser code must access SQL through backend APIs.</w:t>
      </w:r>
    </w:p>
    <w:p>
      <w:r>
        <w:t>DevOps must onboard the repository to GitHub Actions, provide an approved runner with deployment connectivity, configure Azure OIDC authentication, and integrate company-required security scans. Use environment-specific deployment identities and configuration with the required QA and Production approvals. Docker and ACR are not required for the planned code-based deployment.</w:t>
      </w:r>
    </w:p>
    <w:p>
      <w:pPr>
        <w:pStyle w:val="Heading2"/>
      </w:pPr>
      <w:r>
        <w:t>Monitoring and AI tracing</w:t>
      </w:r>
    </w:p>
    <w:p>
      <w:r>
        <w:t>Link each Application Insights instance to the approved Log Analytics workspace. Configure telemetry collection, diagnostic logs, retention, access, and alert recipients. Application development supplies processing-status and backlog instrumentation. Configure LangSmith project access, credentials, retention, and approved masking or sampling of prompts and responses for each environment.</w:t>
      </w:r>
    </w:p>
    <w:p>
      <w:pPr>
        <w:pStyle w:val="Heading2"/>
      </w:pPr>
      <w:r>
        <w:t>Database and QNXT handoff</w:t>
      </w:r>
    </w:p>
    <w:p>
      <w:r>
        <w:t>The DBA and application teams must confirm database/server names and permissions for Dev, QA, and Production. Within each environment, input and AI output are different tables in the same designated database. The application team owns processing and loading the output into QNXT. Confirm the receiving QNXT endpoint and handoff contract before enabling the transfer.</w:t>
      </w:r>
    </w:p>
    <w:p>
      <w:pPr>
        <w:pStyle w:val="Heading1"/>
      </w:pPr>
      <w:r>
        <w:t>Information to finalize for sizing</w:t>
      </w:r>
    </w:p>
    <w:p>
      <w:r>
        <w:t>Application and business owners must supply files per day, maximum file size, supported formats, peak concurrency, expected frontend users, processing-time targets, model requirements, retention periods, and recovery requirements. Infrastructure must return the proposed hosting SKUs, capacity, and service quotas for agreement.</w:t>
      </w:r>
    </w:p>
    <w:p>
      <w:pPr>
        <w:pStyle w:val="Heading1"/>
      </w:pPr>
      <w:r>
        <w:t>Provisioning completion and handover</w:t>
      </w:r>
    </w:p>
    <w:p>
      <w:pPr>
        <w:pStyle w:val="ListBullet"/>
      </w:pPr>
      <w:r>
        <w:t>Provide resource names and IDs, resource groups, hosting plans, URLs, network configuration, and environment access assignments.</w:t>
      </w:r>
    </w:p>
    <w:p>
      <w:pPr>
        <w:pStyle w:val="ListBullet"/>
      </w:pPr>
      <w:r>
        <w:t>Provide monitoring workspace and dashboard details, alert recipients, LangSmith project details, and Key Vault secret references without plaintext secrets.</w:t>
      </w:r>
    </w:p>
    <w:p>
      <w:pPr>
        <w:pStyle w:val="ListBullet"/>
      </w:pPr>
      <w:r>
        <w:t>Validate frontend/API access, Function-to-SQL connectivity, required storage/AI access, telemetry ingestion, and test alert delivery with the application team.</w:t>
      </w:r>
    </w:p>
    <w:p>
      <w:pPr>
        <w:pStyle w:val="ListBullet"/>
      </w:pPr>
      <w:r>
        <w:t>Confirm resource owners, provisioning timeline, deployment readiness, and the outstanding dependencies for each environment.</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