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MERK Azure Infrastructure Provisioning Request</w:t>
      </w:r>
    </w:p>
    <w:p>
      <w:r>
        <w:t>Fee Schedule Automation | Nonproduction | 21 October 2026</w:t>
      </w:r>
    </w:p>
    <w:p>
      <w:r>
        <w:t>Please provision and configure the resources below to support the MERK frontend application, application monitoring, centralized logging, and AI tracing. Associate the resources with the MERK project and provide the deployment details and access listed in this request.</w:t>
      </w:r>
    </w:p>
    <w:p>
      <w:pPr>
        <w:pStyle w:val="Heading1"/>
      </w:pPr>
      <w:r>
        <w:t>Deployment scope</w:t>
      </w:r>
    </w:p>
    <w:tbl>
      <w:tblPr>
        <w:tblW w:type="auto" w:w="0"/>
        <w:tblLayout w:type="fixed"/>
        <w:tblLook w:firstColumn="1" w:firstRow="1" w:lastColumn="0" w:lastRow="0" w:noHBand="0" w:noVBand="1" w:val="04A0"/>
      </w:tblPr>
      <w:tblGrid>
        <w:gridCol w:w="2592"/>
        <w:gridCol w:w="7488"/>
      </w:tblGrid>
      <w:tr>
        <w:trPr>
          <w:tblHeader/>
          <w:cantSplit/>
        </w:trPr>
        <w:tc>
          <w:tcPr>
            <w:tcW w:type="dxa" w:w="5040"/>
            <w:tcBorders>
              <w:top w:val="single" w:sz="4" w:color="D9D9D9"/>
              <w:left w:val="single" w:sz="4" w:color="D9D9D9"/>
              <w:bottom w:val="single" w:sz="4" w:color="D9D9D9"/>
              <w:right w:val="single" w:sz="4" w:color="D9D9D9"/>
            </w:tcBorders>
            <w:tcMar>
              <w:top w:w="80" w:type="dxa"/>
              <w:left w:w="80" w:type="dxa"/>
              <w:bottom w:w="80" w:type="dxa"/>
              <w:right w:w="80" w:type="dxa"/>
            </w:tcMar>
            <w:shd w:fill="E8EEF4"/>
          </w:tcPr>
          <w:p>
            <w:pPr>
              <w:spacing w:after="40" w:before="40"/>
            </w:pPr>
            <w:r>
              <w:rPr>
                <w:b/>
                <w:sz w:val="19"/>
              </w:rPr>
              <w:t>Setting</w:t>
            </w:r>
          </w:p>
        </w:tc>
        <w:tc>
          <w:tcPr>
            <w:tcW w:type="dxa" w:w="5040"/>
            <w:tcBorders>
              <w:top w:val="single" w:sz="4" w:color="D9D9D9"/>
              <w:left w:val="single" w:sz="4" w:color="D9D9D9"/>
              <w:bottom w:val="single" w:sz="4" w:color="D9D9D9"/>
              <w:right w:val="single" w:sz="4" w:color="D9D9D9"/>
            </w:tcBorders>
            <w:tcMar>
              <w:top w:w="80" w:type="dxa"/>
              <w:left w:w="80" w:type="dxa"/>
              <w:bottom w:w="80" w:type="dxa"/>
              <w:right w:w="80" w:type="dxa"/>
            </w:tcMar>
            <w:shd w:fill="E8EEF4"/>
          </w:tcPr>
          <w:p>
            <w:pPr>
              <w:spacing w:after="40" w:before="40"/>
            </w:pPr>
            <w:r>
              <w:rPr>
                <w:b/>
                <w:sz w:val="19"/>
              </w:rPr>
              <w:t>Requirement</w:t>
            </w:r>
          </w:p>
        </w:tc>
      </w:tr>
      <w:tr>
        <w:trPr>
          <w:cantSplit/>
        </w:trPr>
        <w:tc>
          <w:tcPr>
            <w:tcW w:type="dxa" w:w="25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Subscription</w:t>
            </w:r>
          </w:p>
        </w:tc>
        <w:tc>
          <w:tcPr>
            <w:tcW w:type="dxa" w:w="74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SUB-HCB-COMMON-NONPROD</w:t>
            </w:r>
          </w:p>
        </w:tc>
      </w:tr>
      <w:tr>
        <w:trPr>
          <w:cantSplit/>
        </w:trPr>
        <w:tc>
          <w:tcPr>
            <w:tcW w:type="dxa" w:w="2592"/>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19"/>
              </w:rPr>
              <w:t>Application resource group</w:t>
            </w:r>
          </w:p>
        </w:tc>
        <w:tc>
          <w:tcPr>
            <w:tcW w:type="dxa" w:w="748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19"/>
              </w:rPr>
              <w:t>rg-hcb-merk-nonprod-use2-app</w:t>
            </w:r>
          </w:p>
        </w:tc>
      </w:tr>
      <w:tr>
        <w:trPr>
          <w:cantSplit/>
        </w:trPr>
        <w:tc>
          <w:tcPr>
            <w:tcW w:type="dxa" w:w="25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Azure region</w:t>
            </w:r>
          </w:p>
        </w:tc>
        <w:tc>
          <w:tcPr>
            <w:tcW w:type="dxa" w:w="74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East US 2 for regional resources, subject to company policy and service availability</w:t>
            </w:r>
          </w:p>
        </w:tc>
      </w:tr>
      <w:tr>
        <w:trPr>
          <w:cantSplit/>
        </w:trPr>
        <w:tc>
          <w:tcPr>
            <w:tcW w:type="dxa" w:w="2592"/>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19"/>
              </w:rPr>
              <w:t>Network</w:t>
            </w:r>
          </w:p>
        </w:tc>
        <w:tc>
          <w:tcPr>
            <w:tcW w:type="dxa" w:w="748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19"/>
              </w:rPr>
              <w:t>Use the existing project VNet. Integrate supported application hosting plans with the required subnets.</w:t>
            </w:r>
          </w:p>
        </w:tc>
      </w:tr>
      <w:tr>
        <w:trPr>
          <w:cantSplit/>
        </w:trPr>
        <w:tc>
          <w:tcPr>
            <w:tcW w:type="dxa" w:w="25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Database</w:t>
            </w:r>
          </w:p>
        </w:tc>
        <w:tc>
          <w:tcPr>
            <w:tcW w:type="dxa" w:w="74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Use the existing SQL Server on Azure VM MERK. Input and AI output tables reside in the same database.</w:t>
            </w:r>
          </w:p>
        </w:tc>
      </w:tr>
    </w:tbl>
    <w:p>
      <w:pPr>
        <w:pStyle w:val="Heading1"/>
        <w:spacing w:before="140"/>
      </w:pPr>
      <w:r>
        <w:t>Resources to provision and configure</w:t>
      </w:r>
    </w:p>
    <w:tbl>
      <w:tblPr>
        <w:tblW w:type="auto" w:w="0"/>
        <w:tblLayout w:type="fixed"/>
        <w:tblLook w:firstColumn="1" w:firstRow="1" w:lastColumn="0" w:lastRow="0" w:noHBand="0" w:noVBand="1" w:val="04A0"/>
      </w:tblPr>
      <w:tblGrid>
        <w:gridCol w:w="2592"/>
        <w:gridCol w:w="7488"/>
      </w:tblGrid>
      <w:tr>
        <w:trPr>
          <w:tblHeader/>
          <w:cantSplit/>
        </w:trPr>
        <w:tc>
          <w:tcPr>
            <w:tcW w:type="dxa" w:w="5040"/>
            <w:tcBorders>
              <w:top w:val="single" w:sz="4" w:color="D9D9D9"/>
              <w:left w:val="single" w:sz="4" w:color="D9D9D9"/>
              <w:bottom w:val="single" w:sz="4" w:color="D9D9D9"/>
              <w:right w:val="single" w:sz="4" w:color="D9D9D9"/>
            </w:tcBorders>
            <w:tcMar>
              <w:top w:w="80" w:type="dxa"/>
              <w:left w:w="80" w:type="dxa"/>
              <w:bottom w:w="80" w:type="dxa"/>
              <w:right w:w="80" w:type="dxa"/>
            </w:tcMar>
            <w:shd w:fill="E8EEF4"/>
          </w:tcPr>
          <w:p>
            <w:pPr>
              <w:spacing w:after="40" w:before="40"/>
            </w:pPr>
            <w:r>
              <w:rPr>
                <w:b/>
                <w:sz w:val="19"/>
              </w:rPr>
              <w:t>Resource</w:t>
            </w:r>
          </w:p>
        </w:tc>
        <w:tc>
          <w:tcPr>
            <w:tcW w:type="dxa" w:w="5040"/>
            <w:tcBorders>
              <w:top w:val="single" w:sz="4" w:color="D9D9D9"/>
              <w:left w:val="single" w:sz="4" w:color="D9D9D9"/>
              <w:bottom w:val="single" w:sz="4" w:color="D9D9D9"/>
              <w:right w:val="single" w:sz="4" w:color="D9D9D9"/>
            </w:tcBorders>
            <w:tcMar>
              <w:top w:w="80" w:type="dxa"/>
              <w:left w:w="80" w:type="dxa"/>
              <w:bottom w:w="80" w:type="dxa"/>
              <w:right w:w="80" w:type="dxa"/>
            </w:tcMar>
            <w:shd w:fill="E8EEF4"/>
          </w:tcPr>
          <w:p>
            <w:pPr>
              <w:spacing w:after="40" w:before="40"/>
            </w:pPr>
            <w:r>
              <w:rPr>
                <w:b/>
                <w:sz w:val="19"/>
              </w:rPr>
              <w:t>Provisioning requirement and purpose</w:t>
            </w:r>
          </w:p>
        </w:tc>
      </w:tr>
      <w:tr>
        <w:trPr>
          <w:cantSplit/>
        </w:trPr>
        <w:tc>
          <w:tcPr>
            <w:tcW w:type="dxa" w:w="25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Azure App Service Web App</w:t>
            </w:r>
          </w:p>
        </w:tc>
        <w:tc>
          <w:tcPr>
            <w:tcW w:type="dxa" w:w="74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Provision one frontend Web App and an approved App Service Plan. Host the review interface for extracted data, AI comments, comparison results, and processing status. Configure HTTPS and Entra ID authentication.</w:t>
            </w:r>
          </w:p>
        </w:tc>
      </w:tr>
      <w:tr>
        <w:trPr>
          <w:cantSplit/>
        </w:trPr>
        <w:tc>
          <w:tcPr>
            <w:tcW w:type="dxa" w:w="2592"/>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19"/>
              </w:rPr>
              <w:t>Application Insights</w:t>
            </w:r>
          </w:p>
        </w:tc>
        <w:tc>
          <w:tcPr>
            <w:tcW w:type="dxa" w:w="748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19"/>
              </w:rPr>
              <w:t>Provision one workspace-based instance for MERK application telemetry and link it to the Log Analytics workspace. Supply its connection string for application configuration. Track requests, exceptions, latency, and SQL/API dependencies.</w:t>
            </w:r>
          </w:p>
        </w:tc>
      </w:tr>
      <w:tr>
        <w:trPr>
          <w:cantSplit/>
        </w:trPr>
        <w:tc>
          <w:tcPr>
            <w:tcW w:type="dxa" w:w="25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Log Analytics workspace</w:t>
            </w:r>
          </w:p>
        </w:tc>
        <w:tc>
          <w:tcPr>
            <w:tcW w:type="dxa" w:w="74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Provision a project workspace or assign an approved shared workspace. Link Application Insights and route required Azure diagnostic logs to it. Apply company-approved retention and grant the project team query access.</w:t>
            </w:r>
          </w:p>
        </w:tc>
      </w:tr>
      <w:tr>
        <w:trPr>
          <w:cantSplit/>
        </w:trPr>
        <w:tc>
          <w:tcPr>
            <w:tcW w:type="dxa" w:w="2592"/>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19"/>
              </w:rPr>
              <w:t>Azure Monitor alerts</w:t>
            </w:r>
          </w:p>
        </w:tc>
        <w:tc>
          <w:tcPr>
            <w:tcW w:type="dxa" w:w="7488"/>
            <w:tcBorders>
              <w:top w:val="single" w:sz="4" w:color="D9D9D9"/>
              <w:left w:val="single" w:sz="4" w:color="D9D9D9"/>
              <w:bottom w:val="single" w:sz="4" w:color="D9D9D9"/>
              <w:right w:val="single" w:sz="4" w:color="D9D9D9"/>
            </w:tcBorders>
            <w:tcMar>
              <w:top w:w="80" w:type="dxa"/>
              <w:left w:w="80" w:type="dxa"/>
              <w:bottom w:w="80" w:type="dxa"/>
              <w:right w:w="80" w:type="dxa"/>
            </w:tcMar>
            <w:shd w:fill="F6F8FA"/>
          </w:tcPr>
          <w:p>
            <w:pPr>
              <w:spacing w:after="40" w:before="40"/>
            </w:pPr>
            <w:r>
              <w:rPr>
                <w:b w:val="0"/>
                <w:sz w:val="19"/>
              </w:rPr>
              <w:t>Configure dashboards, alert rules, and an Action Group. Monitor application failures, response latency, resource health, and processing backlogs. Connect notifications to the designated support recipients.</w:t>
            </w:r>
          </w:p>
        </w:tc>
      </w:tr>
      <w:tr>
        <w:trPr>
          <w:cantSplit/>
        </w:trPr>
        <w:tc>
          <w:tcPr>
            <w:tcW w:type="dxa" w:w="25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LangSmith project</w:t>
            </w:r>
          </w:p>
        </w:tc>
        <w:tc>
          <w:tcPr>
            <w:tcW w:type="dxa" w:w="74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19"/>
              </w:rPr>
              <w:t>Provision or assign an approved organization/workspace and a dedicated MERK tracing project. Provide developer access and application tracing credentials. Support AI traces, evaluations, token usage, and latency analysis.</w:t>
            </w:r>
          </w:p>
        </w:tc>
      </w:tr>
    </w:tbl>
    <w:p>
      <w:pPr>
        <w:spacing w:before="140"/>
      </w:pPr>
      <w:r>
        <w:t>Use company naming and tagging standards. Reuse approved shared resources where applicable and include their resource identifiers in the handover. LangSmith provisioning may require coordination with the platform or vendor administration team.</w:t>
      </w:r>
    </w:p>
    <w:p>
      <w:r>
        <w:br w:type="page"/>
      </w:r>
    </w:p>
    <w:p>
      <w:pPr>
        <w:pStyle w:val="Heading1"/>
      </w:pPr>
      <w:r>
        <w:t>Required configuration</w:t>
      </w:r>
    </w:p>
    <w:p>
      <w:pPr>
        <w:pStyle w:val="Heading2"/>
      </w:pPr>
      <w:r>
        <w:t>Frontend and API access</w:t>
      </w:r>
    </w:p>
    <w:p>
      <w:r>
        <w:t>Configure the frontend runtime and hosting capacity for the application build supplied by the development team. Restrict access to approved project users through Entra ID. Configure the Web App and Function API access paths and allowed origins as required. Frontend data access must use backend APIs; do not expose SQL credentials in browser code.</w:t>
      </w:r>
    </w:p>
    <w:p>
      <w:pPr>
        <w:pStyle w:val="Heading2"/>
      </w:pPr>
      <w:r>
        <w:t>Private networking and database connectivity</w:t>
      </w:r>
    </w:p>
    <w:p>
      <w:r>
        <w:t>Configure Function App outbound VNet integration and access to the MERK VM private SQL endpoint. Permit the required traffic through NSGs, routing controls, and the VM firewall using the actual SQL listening port. Configure DNS resolution and trusted TLS. Coordinate database logins and scoped input/output table permissions with the DBA team. Functions run as separate Azure services, outside the VM.</w:t>
      </w:r>
    </w:p>
    <w:p>
      <w:r>
        <w:t>Configure private endpoints and private DNS for Azure services according to the project network policy. Configure approved outbound HTTPS access from the application to the selected LangSmith endpoint and SharePoint/Microsoft Graph endpoints used by the intake process.</w:t>
      </w:r>
    </w:p>
    <w:p>
      <w:pPr>
        <w:pStyle w:val="Heading2"/>
      </w:pPr>
      <w:r>
        <w:t>Identity and configuration</w:t>
      </w:r>
    </w:p>
    <w:p>
      <w:r>
        <w:t>Enable managed identities for supported application-to-Azure access and assign the required scoped roles. Store LangSmith credentials and other application secrets in the existing Key Vault. Grant the application identity access to the required secrets. Provide the application team with frontend, monitoring, log-query, and LangSmith project access appropriate to their role.</w:t>
      </w:r>
    </w:p>
    <w:p>
      <w:pPr>
        <w:pStyle w:val="Heading2"/>
      </w:pPr>
      <w:r>
        <w:t>Monitoring and operational handover</w:t>
      </w:r>
    </w:p>
    <w:p>
      <w:r>
        <w:t>Connect Function App telemetry to Application Insights and enable the applicable resource diagnostic settings. Configure frontend telemetry where supported. Set alert thresholds and notification recipients with the application owner. Capture infrastructure metrics and logs; processing-backlog alerts depend on metrics or logs emitted by the application. Apply approved masking and retention rules to AI tracing and logs.</w:t>
      </w:r>
    </w:p>
    <w:p>
      <w:pPr>
        <w:pStyle w:val="Heading1"/>
      </w:pPr>
      <w:r>
        <w:t>Application flow to support</w:t>
      </w:r>
    </w:p>
    <w:p>
      <w:r>
        <w:t>SharePoint files are copied to Blob Storage. The extraction function writes extracted data and source comments to MERK input tables. The AI function reads these tables, calls Azure OpenAI, and writes AI results and comments to separate output tables in the same MERK database. The application team processes this output and sends it to QNXT. No automated QNXT transfer function is requested.</w:t>
      </w:r>
    </w:p>
    <w:p>
      <w:pPr>
        <w:pStyle w:val="Heading1"/>
      </w:pPr>
      <w:r>
        <w:t>Completion and handover requirements</w:t>
      </w:r>
    </w:p>
    <w:p>
      <w:pPr>
        <w:pStyle w:val="ListBullet"/>
      </w:pPr>
      <w:r>
        <w:t>Provide Web App URL, hosting plan/SKU, resource IDs, network configuration, and Entra application/group details.</w:t>
      </w:r>
    </w:p>
    <w:p>
      <w:pPr>
        <w:pStyle w:val="ListBullet"/>
      </w:pPr>
      <w:r>
        <w:t>Provide Application Insights connection details, workspace ID, dashboard links, log retention, alert rules, and Action Group details.</w:t>
      </w:r>
    </w:p>
    <w:p>
      <w:pPr>
        <w:pStyle w:val="ListBullet"/>
      </w:pPr>
      <w:r>
        <w:t>Provide LangSmith endpoint, organization/project identifiers, access assignments, and the Key Vault secret reference. Do not include plaintext credentials in the handover.</w:t>
      </w:r>
    </w:p>
    <w:p>
      <w:pPr>
        <w:pStyle w:val="ListBullet"/>
      </w:pPr>
      <w:r>
        <w:t>Validate frontend reachability, Function-to-MERK SQL connectivity, and application access to Blob, Key Vault, Azure OpenAI, and LangSmith. Validate telemetry ingestion and a test alert with the application team.</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