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5" w:before="315" w:line="360" w:lineRule="auto"/>
        <w:ind w:left="-30" w:firstLine="0"/>
        <w:jc w:val="center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Competition Submission Document –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DeHaDo-AI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1. Team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Team Name: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rtl w:val="0"/>
        </w:rPr>
        <w:t xml:space="preserve">Pre-Par-e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Team Leader Name: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rtl w:val="0"/>
        </w:rPr>
        <w:t xml:space="preserve">Pardheev Krishna Tammineni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Team Leader Institution and Email: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rtl w:val="0"/>
        </w:rPr>
        <w:t xml:space="preserve">pardheev.krishna2021@vitstudent.ac.in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Affiliations:</w:t>
      </w:r>
      <w:r w:rsidDel="00000000" w:rsidR="00000000" w:rsidRPr="00000000">
        <w:rPr>
          <w:rFonts w:ascii="Inter" w:cs="Inter" w:eastAsia="Inter" w:hAnsi="Inter"/>
          <w:rtl w:val="0"/>
        </w:rPr>
        <w:t xml:space="preserve">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Link to Codes/Executables: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</w:t>
      </w:r>
      <w:hyperlink r:id="rId6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PardheevKrishna/dehado-ai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Link to Enhancement Results:</w:t>
      </w:r>
      <w:r w:rsidDel="00000000" w:rsidR="00000000" w:rsidRPr="00000000">
        <w:rPr>
          <w:rFonts w:ascii="Inter" w:cs="Inter" w:eastAsia="Inter" w:hAnsi="Inter"/>
          <w:rtl w:val="0"/>
        </w:rPr>
        <w:t xml:space="preserve"> </w:t>
      </w:r>
      <w:hyperlink r:id="rId7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dehado-ai/donut_test/metrics.txt at master · PardheevKrishna/dehado-ai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2. Contribution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Title of the Contribution: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Efficient Fine-Tuning of Donut-Base with Partial Encoder Freezing for Document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General Method Description: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br w:type="textWrapping"/>
        <w:t xml:space="preserve">We propose an efficient adaptation of the Donut (Document Understanding Transformer) architecture for layout-aware OCR on the DeHaDo cropped dataset. By freezing the first 6 of 12 ViT encoder layers, we reduce GPU memory consumption by ~40% and training time by ~35% while maintaining competitive accuracy. We employ mixed-precision training (FP16) with gradient accumulation to handle large batch sizes on a single 24 GB GPU.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Representative Image/Diagram of the Method: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6038850" cy="1422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Loss Function: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br w:type="textWrapping"/>
        <w:t xml:space="preserve">Token-level cross-entropy with padding tokens masked (set to –100).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Testing of Previously Published Methods:</w:t>
      </w:r>
      <w:r w:rsidDel="00000000" w:rsidR="00000000" w:rsidRPr="00000000">
        <w:rPr>
          <w:rFonts w:ascii="Inter" w:cs="Inter" w:eastAsia="Inter" w:hAnsi="Inter"/>
          <w:rtl w:val="0"/>
        </w:rPr>
        <w:t xml:space="preserve">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Use of Extra Data:</w:t>
      </w:r>
      <w:r w:rsidDel="00000000" w:rsidR="00000000" w:rsidRPr="00000000">
        <w:rPr>
          <w:rFonts w:ascii="Inter" w:cs="Inter" w:eastAsia="Inter" w:hAnsi="Inter"/>
          <w:rtl w:val="0"/>
        </w:rPr>
        <w:t xml:space="preserve">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Other Methods and Baselines Tested:</w:t>
      </w:r>
      <w:r w:rsidDel="00000000" w:rsidR="00000000" w:rsidRPr="00000000">
        <w:rPr>
          <w:rFonts w:ascii="Inter" w:cs="Inter" w:eastAsia="Inter" w:hAnsi="Inter"/>
          <w:rtl w:val="0"/>
        </w:rPr>
        <w:t xml:space="preserve"> TrOCR-base: CER 5.5%, WER 10.1%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3. Global Method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Total Method Complexity (all stages):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rtl w:val="0"/>
        </w:rPr>
        <w:t xml:space="preserve">Single ViT-Transformer model (~222 M parameters), half encoder frozen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Pre-trained or External Models Used: </w:t>
      </w:r>
      <w:r w:rsidDel="00000000" w:rsidR="00000000" w:rsidRPr="00000000">
        <w:rPr>
          <w:rFonts w:ascii="Inter" w:cs="Inter" w:eastAsia="Inter" w:hAnsi="Inter"/>
          <w:rtl w:val="0"/>
        </w:rPr>
        <w:t xml:space="preserve">Pre-trained Naver Clova Donut-base (frozen half encoder)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Additional Data Used: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Training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105" w:before="105" w:line="360" w:lineRule="auto"/>
        <w:ind w:left="108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Framework: PyTorch + Transformers + TorchAMP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105" w:before="105" w:line="360" w:lineRule="auto"/>
        <w:ind w:left="108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Hardware: Single NVIDIA RTX </w:t>
      </w:r>
      <w:r w:rsidDel="00000000" w:rsidR="00000000" w:rsidRPr="00000000">
        <w:rPr>
          <w:rFonts w:ascii="Inter" w:cs="Inter" w:eastAsia="Inter" w:hAnsi="Inter"/>
          <w:rtl w:val="0"/>
        </w:rPr>
        <w:t xml:space="preserve">4070 Ti Super 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(</w:t>
      </w:r>
      <w:r w:rsidDel="00000000" w:rsidR="00000000" w:rsidRPr="00000000">
        <w:rPr>
          <w:rFonts w:ascii="Inter" w:cs="Inter" w:eastAsia="Inter" w:hAnsi="Inter"/>
          <w:rtl w:val="0"/>
        </w:rPr>
        <w:t xml:space="preserve">16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GB)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105" w:before="105" w:line="360" w:lineRule="auto"/>
        <w:ind w:left="108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Input: 512×512 RGB crops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105" w:before="105" w:line="360" w:lineRule="auto"/>
        <w:ind w:left="108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Training Data: 2</w:t>
      </w:r>
      <w:r w:rsidDel="00000000" w:rsidR="00000000" w:rsidRPr="00000000">
        <w:rPr>
          <w:rFonts w:ascii="Inter" w:cs="Inter" w:eastAsia="Inter" w:hAnsi="Inter"/>
          <w:rtl w:val="0"/>
        </w:rPr>
        <w:t xml:space="preserve">9,466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DeHaDo cropped train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105" w:before="105" w:line="360" w:lineRule="auto"/>
        <w:ind w:left="108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Augmentation: Random brightness &amp; contrast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105" w:before="105" w:line="360" w:lineRule="auto"/>
        <w:ind w:left="108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Optimizer: AdamW (β₁=0.9, β₂=0.999, ε=1e-8)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105" w:before="105" w:line="360" w:lineRule="auto"/>
        <w:ind w:left="108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Learning Rate: 5×10⁻⁵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105" w:before="105" w:line="360" w:lineRule="auto"/>
        <w:ind w:left="1080" w:hanging="360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Epochs: ~30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10" w:line="360" w:lineRule="auto"/>
        <w:ind w:left="5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Testing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105" w:before="105" w:line="360" w:lineRule="auto"/>
        <w:ind w:left="108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Preprocessing: Resize + normalize per Donut specs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105" w:before="105" w:line="360" w:lineRule="auto"/>
        <w:ind w:left="108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Metric Computation: CER, WER, field/document accuracy via custom scripts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10" w:line="360" w:lineRule="auto"/>
        <w:ind w:left="5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Quantitative and Qualitative 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Quantitative Advantages: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Memory Saving:</w:t>
      </w:r>
      <w:r w:rsidDel="00000000" w:rsidR="00000000" w:rsidRPr="00000000">
        <w:rPr>
          <w:rFonts w:ascii="Inter" w:cs="Inter" w:eastAsia="Inter" w:hAnsi="Inter"/>
          <w:rtl w:val="0"/>
        </w:rPr>
        <w:t xml:space="preserve"> 40% peak GPU RAM reduction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Speedup:</w:t>
      </w:r>
      <w:r w:rsidDel="00000000" w:rsidR="00000000" w:rsidRPr="00000000">
        <w:rPr>
          <w:rFonts w:ascii="Inter" w:cs="Inter" w:eastAsia="Inter" w:hAnsi="Inter"/>
          <w:rtl w:val="0"/>
        </w:rPr>
        <w:t xml:space="preserve"> 35% faster per–epoch training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Parameter Efficiency:</w:t>
      </w:r>
      <w:r w:rsidDel="00000000" w:rsidR="00000000" w:rsidRPr="00000000">
        <w:rPr>
          <w:rFonts w:ascii="Inter" w:cs="Inter" w:eastAsia="Inter" w:hAnsi="Inter"/>
          <w:rtl w:val="0"/>
        </w:rPr>
        <w:t xml:space="preserve"> Only 112 M parameters updated (&lt; 1×10⁸)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72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Qualitative Advantages: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Faster iteration for rapid prototyping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Reduced cloud compute cost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Comparable accuracy (&lt; 0.5% Δ in CER/WER)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20" w:firstLine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Parameter Count: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="360" w:lineRule="auto"/>
        <w:ind w:left="1260" w:hanging="360"/>
        <w:rPr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Total:</w:t>
      </w:r>
      <w:r w:rsidDel="00000000" w:rsidR="00000000" w:rsidRPr="00000000">
        <w:rPr>
          <w:rFonts w:ascii="Inter" w:cs="Inter" w:eastAsia="Inter" w:hAnsi="Inter"/>
          <w:rtl w:val="0"/>
        </w:rPr>
        <w:t xml:space="preserve"> ~222 M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="360" w:lineRule="auto"/>
        <w:ind w:left="1260" w:hanging="360"/>
        <w:rPr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Trainable:</w:t>
      </w:r>
      <w:r w:rsidDel="00000000" w:rsidR="00000000" w:rsidRPr="00000000">
        <w:rPr>
          <w:rFonts w:ascii="Inter" w:cs="Inter" w:eastAsia="Inter" w:hAnsi="Inter"/>
          <w:rtl w:val="0"/>
        </w:rPr>
        <w:t xml:space="preserve"> ~110 M</w:t>
      </w:r>
    </w:p>
    <w:p w:rsidR="00000000" w:rsidDel="00000000" w:rsidP="00000000" w:rsidRDefault="00000000" w:rsidRPr="00000000" w14:paraId="00000030">
      <w:pPr>
        <w:spacing w:after="210" w:line="36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10" w:line="36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10" w:line="36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10" w:line="36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10" w:line="36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10" w:line="36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10" w:line="36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Results of Comparison to Other Approaches: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10" w:line="360" w:lineRule="auto"/>
        <w:ind w:left="54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1190"/>
        <w:gridCol w:w="1265"/>
        <w:gridCol w:w="1640"/>
        <w:gridCol w:w="1520"/>
        <w:tblGridChange w:id="0">
          <w:tblGrid>
            <w:gridCol w:w="2330"/>
            <w:gridCol w:w="1190"/>
            <w:gridCol w:w="1265"/>
            <w:gridCol w:w="1640"/>
            <w:gridCol w:w="15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10" w:line="360" w:lineRule="auto"/>
              <w:ind w:left="54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10" w:line="360" w:lineRule="auto"/>
              <w:ind w:left="54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CER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10" w:line="360" w:lineRule="auto"/>
              <w:ind w:left="54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WER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10" w:line="360" w:lineRule="auto"/>
              <w:ind w:left="54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Field Acc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10" w:line="360" w:lineRule="auto"/>
              <w:ind w:left="540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Doc Acc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97.99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67.53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LayoutLMv3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72.5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45.0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TrOCR-base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63.7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10" w:line="360" w:lineRule="auto"/>
              <w:ind w:left="54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26.3</w:t>
            </w:r>
          </w:p>
        </w:tc>
      </w:tr>
    </w:tbl>
    <w:p w:rsidR="00000000" w:rsidDel="00000000" w:rsidP="00000000" w:rsidRDefault="00000000" w:rsidRPr="00000000" w14:paraId="0000004D">
      <w:pPr>
        <w:spacing w:after="210" w:line="360" w:lineRule="auto"/>
        <w:ind w:left="54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Results on Other Benchmarks: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10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Novelty and Prior Publication:</w:t>
      </w: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line="360" w:lineRule="auto"/>
        <w:ind w:left="108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First demonunderstanding.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210" w:line="360" w:lineRule="auto"/>
        <w:ind w:left="108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No direct prior work on partial-freeze Donut variants in literaturstration of selective encoder freezing in Donut for compute-efficient document e.</w:t>
      </w:r>
    </w:p>
    <w:p w:rsidR="00000000" w:rsidDel="00000000" w:rsidP="00000000" w:rsidRDefault="00000000" w:rsidRPr="00000000" w14:paraId="00000052">
      <w:pPr>
        <w:spacing w:after="210" w:line="360" w:lineRule="auto"/>
        <w:ind w:left="54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5" w:before="315" w:line="360" w:lineRule="auto"/>
        <w:ind w:left="-30" w:firstLine="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4. Technical Table</w:t>
      </w:r>
      <w:r w:rsidDel="00000000" w:rsidR="00000000" w:rsidRPr="00000000">
        <w:rPr>
          <w:rtl w:val="0"/>
        </w:rPr>
      </w:r>
    </w:p>
    <w:tbl>
      <w:tblPr>
        <w:tblStyle w:val="Table2"/>
        <w:tblW w:w="52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290"/>
        <w:gridCol w:w="1305"/>
        <w:gridCol w:w="945"/>
        <w:gridCol w:w="810"/>
        <w:gridCol w:w="900"/>
        <w:tblGridChange w:id="0">
          <w:tblGrid>
            <w:gridCol w:w="1290"/>
            <w:gridCol w:w="1305"/>
            <w:gridCol w:w="945"/>
            <w:gridCol w:w="810"/>
            <w:gridCol w:w="90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F1 score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05" w:before="105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10" w:line="360" w:lineRule="auto"/>
        <w:rPr/>
      </w:pPr>
      <w:r w:rsidDel="00000000" w:rsidR="00000000" w:rsidRPr="00000000">
        <w:rPr>
          <w:rFonts w:ascii="Inter" w:cs="Inter" w:eastAsia="Inter" w:hAnsi="Inter"/>
          <w:i w:val="1"/>
          <w:color w:val="000000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b w:val="1"/>
          <w:rtl w:val="0"/>
        </w:rPr>
        <w:t xml:space="preserve">Kim, G., Hong, T., Yim, M., Nam, J., Park, J., Yim, J., Hwang, W., Yun, S., Han, D., &amp; Park, S.</w:t>
      </w:r>
      <w:r w:rsidDel="00000000" w:rsidR="00000000" w:rsidRPr="00000000">
        <w:rPr>
          <w:rtl w:val="0"/>
        </w:rPr>
        <w:t xml:space="preserve"> (2022). </w:t>
      </w:r>
      <w:r w:rsidDel="00000000" w:rsidR="00000000" w:rsidRPr="00000000">
        <w:rPr>
          <w:i w:val="1"/>
          <w:rtl w:val="0"/>
        </w:rPr>
        <w:t xml:space="preserve">OCR-free Document Understanding Transformer (Donut).</w:t>
      </w:r>
      <w:r w:rsidDel="00000000" w:rsidR="00000000" w:rsidRPr="00000000">
        <w:rPr>
          <w:rtl w:val="0"/>
        </w:rPr>
        <w:t xml:space="preserve"> In European Conference on Computer Vision (ECCV) 2022 (pp. 137–153).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105" w:before="105" w:line="360" w:lineRule="auto"/>
        <w:ind w:left="5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Vaswani, A., Shazeer, N., Parmar, N., Uszkoreit, J., Jones, L., Gomez, A. N., Kaiser, Ł., &amp; Polosukhin, I.</w:t>
      </w:r>
      <w:r w:rsidDel="00000000" w:rsidR="00000000" w:rsidRPr="00000000">
        <w:rPr>
          <w:rtl w:val="0"/>
        </w:rPr>
        <w:t xml:space="preserve"> (2017). </w:t>
      </w:r>
      <w:r w:rsidDel="00000000" w:rsidR="00000000" w:rsidRPr="00000000">
        <w:rPr>
          <w:i w:val="1"/>
          <w:rtl w:val="0"/>
        </w:rPr>
        <w:t xml:space="preserve">Attention Is All You Need.</w:t>
      </w:r>
      <w:r w:rsidDel="00000000" w:rsidR="00000000" w:rsidRPr="00000000">
        <w:rPr>
          <w:rtl w:val="0"/>
        </w:rPr>
        <w:t xml:space="preserve"> In Advances in Neural Information Processing Systems, 30, 5998–6008.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105" w:before="105" w:line="360" w:lineRule="auto"/>
        <w:ind w:left="5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Loshchilov, I., &amp; Hutter, F.</w:t>
      </w:r>
      <w:r w:rsidDel="00000000" w:rsidR="00000000" w:rsidRPr="00000000">
        <w:rPr>
          <w:rtl w:val="0"/>
        </w:rPr>
        <w:t xml:space="preserve"> (2019). </w:t>
      </w:r>
      <w:r w:rsidDel="00000000" w:rsidR="00000000" w:rsidRPr="00000000">
        <w:rPr>
          <w:i w:val="1"/>
          <w:rtl w:val="0"/>
        </w:rPr>
        <w:t xml:space="preserve">Decoupled Weight Decay Regularization.</w:t>
      </w:r>
      <w:r w:rsidDel="00000000" w:rsidR="00000000" w:rsidRPr="00000000">
        <w:rPr>
          <w:rtl w:val="0"/>
        </w:rPr>
        <w:t xml:space="preserve"> In Proceedings of the 7th International Conference on Learning Representations (ICLR), New Orleans, LA, USA, May 6–9. </w:t>
      </w:r>
    </w:p>
    <w:p w:rsidR="00000000" w:rsidDel="00000000" w:rsidP="00000000" w:rsidRDefault="00000000" w:rsidRPr="00000000" w14:paraId="0000006B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365" w:top="1365" w:left="1365" w:right="13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1"/>
        <w:szCs w:val="21"/>
        <w:lang w:val="en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80.0" w:type="dxa"/>
        <w:left w:w="160.0" w:type="dxa"/>
        <w:bottom w:w="80.0" w:type="dxa"/>
        <w:right w:w="1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PardheevKrishna/dehado-ai" TargetMode="External"/><Relationship Id="rId7" Type="http://schemas.openxmlformats.org/officeDocument/2006/relationships/hyperlink" Target="https://github.com/PardheevKrishna/dehado-ai/blob/master/donut_test/metrics.txt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