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D3DC2" w:rsidRDefault="005D3DC2" w:rsidP="005D3DC2">
      <w:pPr>
        <w:jc w:val="center"/>
        <w:rPr>
          <w:b/>
          <w:sz w:val="64"/>
          <w:szCs w:val="64"/>
        </w:rPr>
      </w:pPr>
    </w:p>
    <w:p w14:paraId="0A37501D" w14:textId="77777777" w:rsidR="005D3DC2" w:rsidRDefault="005D3DC2" w:rsidP="005D3DC2">
      <w:pPr>
        <w:jc w:val="center"/>
        <w:rPr>
          <w:b/>
          <w:sz w:val="64"/>
          <w:szCs w:val="64"/>
        </w:rPr>
      </w:pPr>
    </w:p>
    <w:p w14:paraId="5DAB6C7B" w14:textId="77777777" w:rsidR="005D3DC2" w:rsidRDefault="005D3DC2" w:rsidP="005D3DC2">
      <w:pPr>
        <w:jc w:val="center"/>
        <w:rPr>
          <w:b/>
          <w:sz w:val="64"/>
          <w:szCs w:val="64"/>
        </w:rPr>
      </w:pPr>
    </w:p>
    <w:p w14:paraId="01B9CC11" w14:textId="77777777" w:rsidR="005D3DC2" w:rsidRPr="00E5379A" w:rsidRDefault="005D3DC2" w:rsidP="005D3DC2">
      <w:pPr>
        <w:jc w:val="center"/>
        <w:rPr>
          <w:b/>
          <w:sz w:val="64"/>
          <w:szCs w:val="64"/>
        </w:rPr>
      </w:pPr>
      <w:r w:rsidRPr="00E5379A">
        <w:rPr>
          <w:b/>
          <w:sz w:val="64"/>
          <w:szCs w:val="64"/>
        </w:rPr>
        <w:t>ENGINEERING CHEMISTRY</w:t>
      </w:r>
    </w:p>
    <w:p w14:paraId="50A9B8AB" w14:textId="77777777" w:rsidR="005D3DC2" w:rsidRPr="00E5379A" w:rsidRDefault="005D3DC2" w:rsidP="005D3DC2">
      <w:pPr>
        <w:jc w:val="center"/>
        <w:rPr>
          <w:b/>
          <w:sz w:val="56"/>
          <w:szCs w:val="56"/>
        </w:rPr>
      </w:pPr>
      <w:r w:rsidRPr="00E5379A">
        <w:rPr>
          <w:b/>
          <w:sz w:val="56"/>
          <w:szCs w:val="56"/>
        </w:rPr>
        <w:t>Laboratory Write-up</w:t>
      </w:r>
    </w:p>
    <w:p w14:paraId="02EB378F" w14:textId="77777777" w:rsidR="005D3DC2" w:rsidRPr="00E5379A" w:rsidRDefault="005D3DC2" w:rsidP="005D3DC2">
      <w:pPr>
        <w:tabs>
          <w:tab w:val="left" w:pos="5340"/>
        </w:tabs>
        <w:rPr>
          <w:sz w:val="72"/>
          <w:szCs w:val="72"/>
        </w:rPr>
      </w:pPr>
      <w:r w:rsidRPr="00E5379A">
        <w:rPr>
          <w:sz w:val="72"/>
          <w:szCs w:val="72"/>
        </w:rPr>
        <w:tab/>
      </w:r>
    </w:p>
    <w:p w14:paraId="6A05A809" w14:textId="77777777" w:rsidR="005D3DC2" w:rsidRPr="00E5379A" w:rsidRDefault="005D3DC2" w:rsidP="005D3DC2">
      <w:pPr>
        <w:jc w:val="center"/>
        <w:rPr>
          <w:sz w:val="48"/>
          <w:szCs w:val="48"/>
        </w:rPr>
      </w:pPr>
    </w:p>
    <w:p w14:paraId="5A39BBE3" w14:textId="77777777" w:rsidR="005D3DC2" w:rsidRPr="00E5379A" w:rsidRDefault="005D3DC2" w:rsidP="005D3DC2">
      <w:pPr>
        <w:jc w:val="center"/>
        <w:rPr>
          <w:sz w:val="48"/>
          <w:szCs w:val="48"/>
        </w:rPr>
      </w:pPr>
    </w:p>
    <w:p w14:paraId="41C8F396" w14:textId="77777777" w:rsidR="005D3DC2" w:rsidRPr="00E5379A" w:rsidRDefault="005D3DC2" w:rsidP="005D3DC2">
      <w:pPr>
        <w:jc w:val="center"/>
        <w:rPr>
          <w:sz w:val="48"/>
          <w:szCs w:val="48"/>
        </w:rPr>
      </w:pPr>
    </w:p>
    <w:p w14:paraId="43255EA5" w14:textId="77777777" w:rsidR="005D3DC2" w:rsidRPr="00E5379A" w:rsidRDefault="005D3DC2" w:rsidP="005D3DC2">
      <w:pPr>
        <w:ind w:right="-21"/>
        <w:jc w:val="center"/>
        <w:rPr>
          <w:sz w:val="32"/>
          <w:szCs w:val="32"/>
        </w:rPr>
      </w:pPr>
      <w:r w:rsidRPr="00E5379A">
        <w:rPr>
          <w:b/>
          <w:sz w:val="32"/>
          <w:szCs w:val="32"/>
        </w:rPr>
        <w:t xml:space="preserve">F. Y. B. Tech. </w:t>
      </w:r>
    </w:p>
    <w:p w14:paraId="7F259C7B" w14:textId="77777777" w:rsidR="005D3DC2" w:rsidRPr="00E5379A" w:rsidRDefault="005D3DC2" w:rsidP="005D3DC2">
      <w:pPr>
        <w:ind w:right="-21"/>
        <w:jc w:val="center"/>
        <w:rPr>
          <w:sz w:val="32"/>
          <w:szCs w:val="32"/>
        </w:rPr>
      </w:pPr>
      <w:r>
        <w:rPr>
          <w:b/>
          <w:sz w:val="32"/>
          <w:szCs w:val="32"/>
        </w:rPr>
        <w:t>(First Year Semester I/</w:t>
      </w:r>
      <w:r w:rsidRPr="00E5379A">
        <w:rPr>
          <w:b/>
          <w:sz w:val="32"/>
          <w:szCs w:val="32"/>
        </w:rPr>
        <w:t xml:space="preserve"> II)</w:t>
      </w:r>
    </w:p>
    <w:p w14:paraId="72A3D3EC" w14:textId="77777777" w:rsidR="005D3DC2" w:rsidRPr="00E5379A" w:rsidRDefault="005D3DC2" w:rsidP="005D3DC2">
      <w:pPr>
        <w:ind w:right="-21"/>
        <w:jc w:val="center"/>
        <w:rPr>
          <w:sz w:val="32"/>
          <w:szCs w:val="32"/>
        </w:rPr>
      </w:pPr>
    </w:p>
    <w:p w14:paraId="0D0B940D" w14:textId="77777777" w:rsidR="005D3DC2" w:rsidRPr="00E5379A" w:rsidRDefault="005D3DC2" w:rsidP="005D3DC2">
      <w:pPr>
        <w:ind w:right="-21"/>
        <w:jc w:val="center"/>
        <w:rPr>
          <w:sz w:val="32"/>
          <w:szCs w:val="32"/>
        </w:rPr>
      </w:pPr>
    </w:p>
    <w:p w14:paraId="0E27B00A" w14:textId="77777777" w:rsidR="005D3DC2" w:rsidRPr="00E5379A" w:rsidRDefault="005D3DC2" w:rsidP="005D3DC2">
      <w:pPr>
        <w:ind w:right="-21"/>
        <w:jc w:val="center"/>
        <w:rPr>
          <w:sz w:val="32"/>
          <w:szCs w:val="32"/>
        </w:rPr>
      </w:pPr>
    </w:p>
    <w:p w14:paraId="60061E4C" w14:textId="77777777" w:rsidR="005D3DC2" w:rsidRPr="00E5379A" w:rsidRDefault="005D3DC2" w:rsidP="005D3DC2">
      <w:pPr>
        <w:ind w:right="-21"/>
        <w:jc w:val="center"/>
        <w:rPr>
          <w:sz w:val="32"/>
          <w:szCs w:val="32"/>
        </w:rPr>
      </w:pPr>
    </w:p>
    <w:p w14:paraId="7F4C583C" w14:textId="77777777" w:rsidR="005D3DC2" w:rsidRPr="00E5379A" w:rsidRDefault="005D3DC2" w:rsidP="005D3DC2">
      <w:pPr>
        <w:ind w:right="-21"/>
        <w:jc w:val="center"/>
        <w:rPr>
          <w:sz w:val="32"/>
          <w:szCs w:val="32"/>
        </w:rPr>
      </w:pPr>
      <w:r w:rsidRPr="00E5379A">
        <w:rPr>
          <w:b/>
          <w:sz w:val="32"/>
          <w:szCs w:val="32"/>
        </w:rPr>
        <w:t>Academic Year 20</w:t>
      </w:r>
      <w:r>
        <w:rPr>
          <w:b/>
          <w:sz w:val="32"/>
          <w:szCs w:val="32"/>
        </w:rPr>
        <w:t>21- 2022</w:t>
      </w:r>
    </w:p>
    <w:p w14:paraId="7290AFAF" w14:textId="77777777" w:rsidR="005D3DC2" w:rsidRPr="00E5379A" w:rsidRDefault="005D3DC2" w:rsidP="005D3DC2">
      <w:pPr>
        <w:ind w:right="-21"/>
        <w:jc w:val="center"/>
        <w:rPr>
          <w:sz w:val="32"/>
          <w:szCs w:val="32"/>
        </w:rPr>
      </w:pPr>
      <w:r w:rsidRPr="00E5379A">
        <w:rPr>
          <w:b/>
          <w:sz w:val="32"/>
          <w:szCs w:val="32"/>
        </w:rPr>
        <w:t>(KJSCE 2018 CBGS Pattern)</w:t>
      </w:r>
    </w:p>
    <w:p w14:paraId="44EAFD9C" w14:textId="77777777" w:rsidR="005D3DC2" w:rsidRDefault="005D3DC2" w:rsidP="005D3DC2">
      <w:pPr>
        <w:jc w:val="center"/>
        <w:rPr>
          <w:sz w:val="72"/>
          <w:szCs w:val="72"/>
        </w:rPr>
      </w:pPr>
    </w:p>
    <w:p w14:paraId="4B94D5A5" w14:textId="77777777" w:rsidR="00E21F98" w:rsidRDefault="00E21F98" w:rsidP="0067282A">
      <w:pPr>
        <w:jc w:val="center"/>
      </w:pPr>
    </w:p>
    <w:p w14:paraId="3DEEC669" w14:textId="77777777" w:rsidR="00847A8C" w:rsidRDefault="00847A8C" w:rsidP="0067282A">
      <w:pPr>
        <w:jc w:val="center"/>
      </w:pPr>
    </w:p>
    <w:p w14:paraId="3656B9AB" w14:textId="77777777" w:rsidR="00847A8C" w:rsidRDefault="00847A8C" w:rsidP="0067282A">
      <w:pPr>
        <w:jc w:val="center"/>
      </w:pPr>
    </w:p>
    <w:p w14:paraId="45FB0818" w14:textId="77777777" w:rsidR="00847A8C" w:rsidRDefault="00847A8C" w:rsidP="0067282A">
      <w:pPr>
        <w:jc w:val="center"/>
      </w:pPr>
    </w:p>
    <w:p w14:paraId="049F31CB" w14:textId="77777777" w:rsidR="00847A8C" w:rsidRDefault="00847A8C" w:rsidP="0067282A">
      <w:pPr>
        <w:jc w:val="center"/>
      </w:pPr>
    </w:p>
    <w:p w14:paraId="53128261" w14:textId="77777777" w:rsidR="00847A8C" w:rsidRDefault="00847A8C" w:rsidP="0067282A">
      <w:pPr>
        <w:jc w:val="center"/>
      </w:pPr>
    </w:p>
    <w:p w14:paraId="62486C05" w14:textId="77777777" w:rsidR="005D3DC2" w:rsidRDefault="005D3DC2">
      <w:pPr>
        <w:spacing w:after="200" w:line="276" w:lineRule="auto"/>
      </w:pPr>
      <w:r>
        <w:br w:type="page"/>
      </w:r>
    </w:p>
    <w:p w14:paraId="4101652C" w14:textId="77777777" w:rsidR="00E21F98" w:rsidRDefault="00E21F98" w:rsidP="0067282A">
      <w:pPr>
        <w:jc w:val="center"/>
      </w:pPr>
    </w:p>
    <w:p w14:paraId="4B99056E" w14:textId="77777777" w:rsidR="005D3DC2" w:rsidRDefault="005D3DC2" w:rsidP="005D3DC2">
      <w:pPr>
        <w:jc w:val="center"/>
        <w:rPr>
          <w:sz w:val="36"/>
          <w:szCs w:val="36"/>
          <w:u w:val="single"/>
        </w:rPr>
      </w:pPr>
    </w:p>
    <w:p w14:paraId="1299C43A" w14:textId="77777777" w:rsidR="005D3DC2" w:rsidRDefault="005D3DC2" w:rsidP="005D3DC2">
      <w:pPr>
        <w:jc w:val="center"/>
        <w:rPr>
          <w:sz w:val="36"/>
          <w:szCs w:val="36"/>
          <w:u w:val="single"/>
        </w:rPr>
      </w:pPr>
    </w:p>
    <w:p w14:paraId="72225B97" w14:textId="77777777" w:rsidR="005D3DC2" w:rsidRPr="00E5379A" w:rsidRDefault="005D3DC2" w:rsidP="005D3DC2">
      <w:pPr>
        <w:jc w:val="center"/>
        <w:rPr>
          <w:sz w:val="36"/>
          <w:szCs w:val="36"/>
          <w:u w:val="single"/>
        </w:rPr>
      </w:pPr>
      <w:r w:rsidRPr="00E5379A">
        <w:rPr>
          <w:sz w:val="36"/>
          <w:szCs w:val="36"/>
          <w:u w:val="single"/>
        </w:rPr>
        <w:t>Instructions to the student</w:t>
      </w:r>
    </w:p>
    <w:p w14:paraId="035F1700"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Every student is expected to bring printouts of laboratory write-up/ assignments to be performed at the time of practical session as per his/ her schedule.</w:t>
      </w:r>
    </w:p>
    <w:p w14:paraId="66B0E451"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Every student should take counter signature of the concerned faculty in-charge on the same day during laboratory session for the verification of outcomes of the experiment/ assignment.</w:t>
      </w:r>
    </w:p>
    <w:p w14:paraId="05D00B72"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 xml:space="preserve">The </w:t>
      </w:r>
      <w:r>
        <w:rPr>
          <w:sz w:val="28"/>
          <w:szCs w:val="28"/>
        </w:rPr>
        <w:t>write-up/</w:t>
      </w:r>
      <w:r w:rsidRPr="00E5379A">
        <w:rPr>
          <w:sz w:val="28"/>
          <w:szCs w:val="28"/>
        </w:rPr>
        <w:t>journal would consist of all the experiments performed during the academic semester complete in all respect along with graded term test papers. The journal may contain additional assignments as prescribed by the concerned faculty in-charge.</w:t>
      </w:r>
    </w:p>
    <w:p w14:paraId="353087D1"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The journal shall content A-4 size papers unless it is instructed for a particular subject.</w:t>
      </w:r>
    </w:p>
    <w:p w14:paraId="603BF3A5"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The students can use additional A-4 sheets if necessary for writing</w:t>
      </w:r>
      <w:r>
        <w:rPr>
          <w:sz w:val="28"/>
          <w:szCs w:val="28"/>
        </w:rPr>
        <w:t>.</w:t>
      </w:r>
    </w:p>
    <w:p w14:paraId="0AE86D06"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Every experiment/ assignment should bear a cover page in standard format given with this write-up file.</w:t>
      </w:r>
    </w:p>
    <w:p w14:paraId="3B354545"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The contents/ index of the journal should be as per the standard format given with this write-up file.</w:t>
      </w:r>
    </w:p>
    <w:p w14:paraId="4A4AA517" w14:textId="77777777" w:rsidR="005D3DC2" w:rsidRPr="00E5379A" w:rsidRDefault="005D3DC2" w:rsidP="005D3DC2">
      <w:pPr>
        <w:numPr>
          <w:ilvl w:val="0"/>
          <w:numId w:val="4"/>
        </w:numPr>
        <w:tabs>
          <w:tab w:val="clear" w:pos="1440"/>
          <w:tab w:val="num" w:pos="720"/>
        </w:tabs>
        <w:suppressAutoHyphens/>
        <w:ind w:left="720"/>
        <w:jc w:val="both"/>
        <w:rPr>
          <w:sz w:val="28"/>
          <w:szCs w:val="28"/>
        </w:rPr>
      </w:pPr>
      <w:r w:rsidRPr="00E5379A">
        <w:rPr>
          <w:sz w:val="28"/>
          <w:szCs w:val="28"/>
        </w:rPr>
        <w:t>Students are expected to follow the instructions given by concerned faculty during laboratory session from time to time.</w:t>
      </w:r>
    </w:p>
    <w:p w14:paraId="4DDBEF00" w14:textId="77777777" w:rsidR="005D3DC2" w:rsidRDefault="005D3DC2">
      <w:pPr>
        <w:spacing w:after="200" w:line="276" w:lineRule="auto"/>
      </w:pPr>
      <w:r>
        <w:br w:type="page"/>
      </w:r>
    </w:p>
    <w:p w14:paraId="3461D779" w14:textId="77777777" w:rsidR="005D3DC2" w:rsidRDefault="005D3DC2" w:rsidP="0067282A">
      <w:pPr>
        <w:jc w:val="center"/>
      </w:pPr>
    </w:p>
    <w:p w14:paraId="44DB1C6E" w14:textId="77777777" w:rsidR="005D3DC2" w:rsidRPr="00B251F4" w:rsidRDefault="005D3DC2" w:rsidP="005D3DC2">
      <w:pPr>
        <w:rPr>
          <w:b/>
          <w:iCs/>
          <w:sz w:val="36"/>
          <w:szCs w:val="36"/>
          <w:u w:val="single"/>
        </w:rPr>
      </w:pPr>
      <w:r w:rsidRPr="00B251F4">
        <w:rPr>
          <w:b/>
          <w:iCs/>
          <w:sz w:val="36"/>
          <w:szCs w:val="36"/>
        </w:rPr>
        <w:t xml:space="preserve">                                    </w:t>
      </w:r>
      <w:r>
        <w:rPr>
          <w:b/>
          <w:iCs/>
          <w:sz w:val="36"/>
          <w:szCs w:val="36"/>
          <w:u w:val="single"/>
        </w:rPr>
        <w:t xml:space="preserve"> </w:t>
      </w:r>
      <w:r w:rsidRPr="00B251F4">
        <w:rPr>
          <w:b/>
          <w:iCs/>
          <w:sz w:val="36"/>
          <w:szCs w:val="36"/>
          <w:u w:val="single"/>
        </w:rPr>
        <w:t>INDEX</w:t>
      </w:r>
      <w:r>
        <w:rPr>
          <w:b/>
          <w:iCs/>
          <w:sz w:val="36"/>
          <w:szCs w:val="36"/>
          <w:u w:val="single"/>
        </w:rPr>
        <w:t xml:space="preserve">  </w:t>
      </w:r>
    </w:p>
    <w:tbl>
      <w:tblPr>
        <w:tblStyle w:val="TableGrid"/>
        <w:tblpPr w:leftFromText="180" w:rightFromText="180" w:vertAnchor="text" w:horzAnchor="page" w:tblpXSpec="center" w:tblpY="650"/>
        <w:tblW w:w="11023" w:type="dxa"/>
        <w:tblLook w:val="04A0" w:firstRow="1" w:lastRow="0" w:firstColumn="1" w:lastColumn="0" w:noHBand="0" w:noVBand="1"/>
      </w:tblPr>
      <w:tblGrid>
        <w:gridCol w:w="885"/>
        <w:gridCol w:w="4623"/>
        <w:gridCol w:w="1980"/>
        <w:gridCol w:w="1834"/>
        <w:gridCol w:w="1701"/>
      </w:tblGrid>
      <w:tr w:rsidR="005D3DC2" w:rsidRPr="00AE30B8" w14:paraId="017B9688" w14:textId="77777777" w:rsidTr="00CD4303">
        <w:trPr>
          <w:trHeight w:val="1139"/>
        </w:trPr>
        <w:tc>
          <w:tcPr>
            <w:tcW w:w="885" w:type="dxa"/>
          </w:tcPr>
          <w:p w14:paraId="32AFB29E" w14:textId="77777777" w:rsidR="005D3DC2" w:rsidRPr="00AE30B8" w:rsidRDefault="005D3DC2" w:rsidP="00CD4303">
            <w:pPr>
              <w:snapToGrid w:val="0"/>
              <w:ind w:right="-332"/>
              <w:jc w:val="center"/>
              <w:rPr>
                <w:b/>
                <w:sz w:val="28"/>
                <w:szCs w:val="28"/>
              </w:rPr>
            </w:pPr>
            <w:r w:rsidRPr="00AE30B8">
              <w:rPr>
                <w:b/>
                <w:sz w:val="28"/>
                <w:szCs w:val="28"/>
              </w:rPr>
              <w:t>No.</w:t>
            </w:r>
          </w:p>
        </w:tc>
        <w:tc>
          <w:tcPr>
            <w:tcW w:w="4623" w:type="dxa"/>
          </w:tcPr>
          <w:p w14:paraId="2417DB41" w14:textId="77777777" w:rsidR="005D3DC2" w:rsidRPr="00AE30B8" w:rsidRDefault="005D3DC2" w:rsidP="00DA1716">
            <w:pPr>
              <w:snapToGrid w:val="0"/>
              <w:jc w:val="center"/>
              <w:rPr>
                <w:b/>
                <w:sz w:val="28"/>
                <w:szCs w:val="28"/>
              </w:rPr>
            </w:pPr>
            <w:r w:rsidRPr="00AE30B8">
              <w:rPr>
                <w:b/>
                <w:sz w:val="28"/>
                <w:szCs w:val="28"/>
              </w:rPr>
              <w:t>Name of the Experiment / Assignment</w:t>
            </w:r>
          </w:p>
        </w:tc>
        <w:tc>
          <w:tcPr>
            <w:tcW w:w="1980" w:type="dxa"/>
          </w:tcPr>
          <w:p w14:paraId="6BAF5543" w14:textId="77777777" w:rsidR="005D3DC2" w:rsidRPr="00AE30B8" w:rsidRDefault="005D3DC2" w:rsidP="00DA1716">
            <w:pPr>
              <w:snapToGrid w:val="0"/>
              <w:jc w:val="center"/>
              <w:rPr>
                <w:b/>
                <w:sz w:val="28"/>
                <w:szCs w:val="28"/>
              </w:rPr>
            </w:pPr>
            <w:r w:rsidRPr="00AE30B8">
              <w:rPr>
                <w:b/>
                <w:sz w:val="28"/>
                <w:szCs w:val="28"/>
              </w:rPr>
              <w:t>Date of performance</w:t>
            </w:r>
          </w:p>
        </w:tc>
        <w:tc>
          <w:tcPr>
            <w:tcW w:w="1834" w:type="dxa"/>
          </w:tcPr>
          <w:p w14:paraId="75BC1333" w14:textId="77777777" w:rsidR="005D3DC2" w:rsidRPr="00AE30B8" w:rsidRDefault="005D3DC2" w:rsidP="00DA1716">
            <w:pPr>
              <w:snapToGrid w:val="0"/>
              <w:jc w:val="center"/>
              <w:rPr>
                <w:b/>
                <w:sz w:val="28"/>
                <w:szCs w:val="28"/>
              </w:rPr>
            </w:pPr>
            <w:r w:rsidRPr="00AE30B8">
              <w:rPr>
                <w:b/>
                <w:sz w:val="28"/>
                <w:szCs w:val="28"/>
              </w:rPr>
              <w:t xml:space="preserve">Date of </w:t>
            </w:r>
          </w:p>
          <w:p w14:paraId="6296C5E5" w14:textId="77777777" w:rsidR="005D3DC2" w:rsidRPr="00AE30B8" w:rsidRDefault="005D3DC2" w:rsidP="00DA1716">
            <w:pPr>
              <w:jc w:val="center"/>
              <w:rPr>
                <w:b/>
                <w:sz w:val="28"/>
                <w:szCs w:val="28"/>
              </w:rPr>
            </w:pPr>
            <w:r w:rsidRPr="00AE30B8">
              <w:rPr>
                <w:b/>
                <w:sz w:val="28"/>
                <w:szCs w:val="28"/>
              </w:rPr>
              <w:t>Submission</w:t>
            </w:r>
          </w:p>
          <w:p w14:paraId="4CC35AC6" w14:textId="77777777" w:rsidR="005D3DC2" w:rsidRPr="00AE30B8" w:rsidRDefault="005D3DC2" w:rsidP="00DA1716">
            <w:pPr>
              <w:jc w:val="center"/>
              <w:rPr>
                <w:b/>
                <w:sz w:val="28"/>
                <w:szCs w:val="28"/>
              </w:rPr>
            </w:pPr>
            <w:r w:rsidRPr="00AE30B8">
              <w:rPr>
                <w:b/>
                <w:sz w:val="28"/>
                <w:szCs w:val="28"/>
              </w:rPr>
              <w:t>Correction</w:t>
            </w:r>
          </w:p>
        </w:tc>
        <w:tc>
          <w:tcPr>
            <w:tcW w:w="1701" w:type="dxa"/>
          </w:tcPr>
          <w:p w14:paraId="5CDABA0E" w14:textId="77777777" w:rsidR="005D3DC2" w:rsidRPr="00AE30B8" w:rsidRDefault="005D3DC2" w:rsidP="00DA1716">
            <w:pPr>
              <w:snapToGrid w:val="0"/>
              <w:jc w:val="center"/>
              <w:rPr>
                <w:b/>
                <w:sz w:val="28"/>
                <w:szCs w:val="28"/>
              </w:rPr>
            </w:pPr>
            <w:r w:rsidRPr="00AE30B8">
              <w:rPr>
                <w:b/>
                <w:sz w:val="28"/>
                <w:szCs w:val="28"/>
              </w:rPr>
              <w:t>Remark / Grade / Signature</w:t>
            </w:r>
          </w:p>
        </w:tc>
      </w:tr>
      <w:tr w:rsidR="00CD4303" w:rsidRPr="00AE30B8" w14:paraId="1050232F" w14:textId="77777777" w:rsidTr="00CD4303">
        <w:trPr>
          <w:trHeight w:val="684"/>
        </w:trPr>
        <w:tc>
          <w:tcPr>
            <w:tcW w:w="885" w:type="dxa"/>
          </w:tcPr>
          <w:p w14:paraId="649841BE" w14:textId="77777777" w:rsidR="00CD4303" w:rsidRPr="00AE30B8" w:rsidRDefault="00CD4303" w:rsidP="00CD4303">
            <w:pPr>
              <w:snapToGrid w:val="0"/>
              <w:jc w:val="center"/>
            </w:pPr>
            <w:r w:rsidRPr="00AE30B8">
              <w:t>1</w:t>
            </w:r>
          </w:p>
        </w:tc>
        <w:tc>
          <w:tcPr>
            <w:tcW w:w="4623" w:type="dxa"/>
          </w:tcPr>
          <w:p w14:paraId="4D07C616" w14:textId="77777777" w:rsidR="00CD4303" w:rsidRPr="009F76D0" w:rsidRDefault="00CD4303" w:rsidP="00DA1716">
            <w:pPr>
              <w:pStyle w:val="NoSpacing"/>
              <w:rPr>
                <w:sz w:val="24"/>
                <w:szCs w:val="24"/>
              </w:rPr>
            </w:pPr>
            <w:r w:rsidRPr="00DD1A48">
              <w:rPr>
                <w:sz w:val="24"/>
                <w:szCs w:val="24"/>
              </w:rPr>
              <w:t>To understand &amp; familiarize with Good Laboratory Practices in Chemistry Laboratory</w:t>
            </w:r>
          </w:p>
        </w:tc>
        <w:tc>
          <w:tcPr>
            <w:tcW w:w="1980" w:type="dxa"/>
          </w:tcPr>
          <w:p w14:paraId="3CF2D8B6" w14:textId="6314AE7E" w:rsidR="00CD4303" w:rsidRPr="00AE30B8" w:rsidRDefault="00F7078B" w:rsidP="00DA1716">
            <w:pPr>
              <w:jc w:val="center"/>
              <w:rPr>
                <w:b/>
              </w:rPr>
            </w:pPr>
            <w:r>
              <w:rPr>
                <w:b/>
              </w:rPr>
              <w:t>13/10/2021</w:t>
            </w:r>
          </w:p>
        </w:tc>
        <w:tc>
          <w:tcPr>
            <w:tcW w:w="1834" w:type="dxa"/>
          </w:tcPr>
          <w:p w14:paraId="0FB78278" w14:textId="449E4332" w:rsidR="00CD4303" w:rsidRPr="00AE30B8" w:rsidRDefault="00F7078B" w:rsidP="00DA1716">
            <w:pPr>
              <w:jc w:val="center"/>
              <w:rPr>
                <w:b/>
              </w:rPr>
            </w:pPr>
            <w:r>
              <w:rPr>
                <w:b/>
              </w:rPr>
              <w:t>20/10/2021</w:t>
            </w:r>
          </w:p>
        </w:tc>
        <w:tc>
          <w:tcPr>
            <w:tcW w:w="1701" w:type="dxa"/>
          </w:tcPr>
          <w:p w14:paraId="1FC39945" w14:textId="77777777" w:rsidR="00CD4303" w:rsidRPr="00AE30B8" w:rsidRDefault="00CD4303" w:rsidP="00DA1716">
            <w:pPr>
              <w:jc w:val="center"/>
              <w:rPr>
                <w:b/>
              </w:rPr>
            </w:pPr>
          </w:p>
        </w:tc>
      </w:tr>
      <w:tr w:rsidR="00CD4303" w:rsidRPr="00AE30B8" w14:paraId="264256EA" w14:textId="77777777" w:rsidTr="00CD4303">
        <w:trPr>
          <w:trHeight w:val="694"/>
        </w:trPr>
        <w:tc>
          <w:tcPr>
            <w:tcW w:w="885" w:type="dxa"/>
          </w:tcPr>
          <w:p w14:paraId="18F999B5" w14:textId="77777777" w:rsidR="00CD4303" w:rsidRPr="00AE30B8" w:rsidRDefault="00CD4303" w:rsidP="00CD4303">
            <w:pPr>
              <w:snapToGrid w:val="0"/>
              <w:jc w:val="center"/>
            </w:pPr>
            <w:r w:rsidRPr="00AE30B8">
              <w:t>2</w:t>
            </w:r>
          </w:p>
        </w:tc>
        <w:tc>
          <w:tcPr>
            <w:tcW w:w="4623" w:type="dxa"/>
          </w:tcPr>
          <w:p w14:paraId="0C490EA4" w14:textId="77777777" w:rsidR="00CD4303" w:rsidRPr="00DD1A48" w:rsidRDefault="00CD4303" w:rsidP="00DA1716">
            <w:pPr>
              <w:pStyle w:val="NoSpacing"/>
              <w:rPr>
                <w:color w:val="000000" w:themeColor="text1"/>
                <w:sz w:val="24"/>
                <w:szCs w:val="24"/>
                <w:u w:val="single"/>
              </w:rPr>
            </w:pPr>
            <w:r w:rsidRPr="00DD1A48">
              <w:rPr>
                <w:sz w:val="24"/>
                <w:szCs w:val="24"/>
              </w:rPr>
              <w:t>To understand the concept of pH indicator and to determine suitable indicator for acid-base titration.</w:t>
            </w:r>
            <w:r w:rsidRPr="00DD1A48">
              <w:rPr>
                <w:color w:val="000000" w:themeColor="text1"/>
                <w:sz w:val="24"/>
                <w:szCs w:val="24"/>
                <w:u w:val="single"/>
              </w:rPr>
              <w:t xml:space="preserve"> </w:t>
            </w:r>
          </w:p>
        </w:tc>
        <w:tc>
          <w:tcPr>
            <w:tcW w:w="1980" w:type="dxa"/>
          </w:tcPr>
          <w:p w14:paraId="0562CB0E" w14:textId="39DCE978" w:rsidR="00CD4303" w:rsidRPr="00AE30B8" w:rsidRDefault="00F7078B" w:rsidP="00DA1716">
            <w:pPr>
              <w:jc w:val="center"/>
              <w:rPr>
                <w:b/>
              </w:rPr>
            </w:pPr>
            <w:r>
              <w:rPr>
                <w:b/>
              </w:rPr>
              <w:t>20/10/2021</w:t>
            </w:r>
          </w:p>
        </w:tc>
        <w:tc>
          <w:tcPr>
            <w:tcW w:w="1834" w:type="dxa"/>
          </w:tcPr>
          <w:p w14:paraId="34CE0A41" w14:textId="48AEF6BB" w:rsidR="00CD4303" w:rsidRPr="00AE30B8" w:rsidRDefault="00F7078B" w:rsidP="00DA1716">
            <w:pPr>
              <w:jc w:val="center"/>
              <w:rPr>
                <w:b/>
              </w:rPr>
            </w:pPr>
            <w:r>
              <w:rPr>
                <w:b/>
              </w:rPr>
              <w:t>10/11/2021</w:t>
            </w:r>
          </w:p>
        </w:tc>
        <w:tc>
          <w:tcPr>
            <w:tcW w:w="1701" w:type="dxa"/>
          </w:tcPr>
          <w:p w14:paraId="62EBF3C5" w14:textId="77777777" w:rsidR="00CD4303" w:rsidRPr="00AE30B8" w:rsidRDefault="00CD4303" w:rsidP="00DA1716">
            <w:pPr>
              <w:jc w:val="center"/>
              <w:rPr>
                <w:b/>
              </w:rPr>
            </w:pPr>
          </w:p>
        </w:tc>
      </w:tr>
      <w:tr w:rsidR="00CD4303" w:rsidRPr="00AE30B8" w14:paraId="0673F4DF" w14:textId="77777777" w:rsidTr="00CD4303">
        <w:trPr>
          <w:trHeight w:val="551"/>
        </w:trPr>
        <w:tc>
          <w:tcPr>
            <w:tcW w:w="885" w:type="dxa"/>
          </w:tcPr>
          <w:p w14:paraId="5FCD5EC4" w14:textId="77777777" w:rsidR="00CD4303" w:rsidRPr="00AE30B8" w:rsidRDefault="00CD4303" w:rsidP="00CD4303">
            <w:pPr>
              <w:snapToGrid w:val="0"/>
              <w:jc w:val="center"/>
            </w:pPr>
            <w:r w:rsidRPr="00AE30B8">
              <w:t>3</w:t>
            </w:r>
          </w:p>
        </w:tc>
        <w:tc>
          <w:tcPr>
            <w:tcW w:w="4623" w:type="dxa"/>
          </w:tcPr>
          <w:p w14:paraId="782BDD08" w14:textId="77777777" w:rsidR="00CD4303" w:rsidRPr="00887E9E" w:rsidRDefault="00CD4303" w:rsidP="00DA1716">
            <w:pPr>
              <w:pStyle w:val="NoSpacing"/>
              <w:rPr>
                <w:sz w:val="24"/>
                <w:szCs w:val="24"/>
              </w:rPr>
            </w:pPr>
            <w:r w:rsidRPr="00DD1A48">
              <w:rPr>
                <w:sz w:val="24"/>
                <w:szCs w:val="24"/>
              </w:rPr>
              <w:t>To determine the hardness of water using EDTA titration.</w:t>
            </w:r>
          </w:p>
        </w:tc>
        <w:tc>
          <w:tcPr>
            <w:tcW w:w="1980" w:type="dxa"/>
          </w:tcPr>
          <w:p w14:paraId="6D98A12B" w14:textId="4CFB8653" w:rsidR="00CD4303" w:rsidRPr="00AE30B8" w:rsidRDefault="00F7078B" w:rsidP="00DA1716">
            <w:pPr>
              <w:jc w:val="center"/>
              <w:rPr>
                <w:b/>
              </w:rPr>
            </w:pPr>
            <w:r>
              <w:rPr>
                <w:b/>
              </w:rPr>
              <w:t>10/11/2021</w:t>
            </w:r>
          </w:p>
        </w:tc>
        <w:tc>
          <w:tcPr>
            <w:tcW w:w="1834" w:type="dxa"/>
          </w:tcPr>
          <w:p w14:paraId="2946DB82" w14:textId="4E85B21E" w:rsidR="00CD4303" w:rsidRPr="00AE30B8" w:rsidRDefault="00F7078B" w:rsidP="00DA1716">
            <w:pPr>
              <w:jc w:val="center"/>
              <w:rPr>
                <w:b/>
              </w:rPr>
            </w:pPr>
            <w:r>
              <w:rPr>
                <w:b/>
              </w:rPr>
              <w:t>17/11/2021</w:t>
            </w:r>
          </w:p>
        </w:tc>
        <w:tc>
          <w:tcPr>
            <w:tcW w:w="1701" w:type="dxa"/>
          </w:tcPr>
          <w:p w14:paraId="5997CC1D" w14:textId="77777777" w:rsidR="00CD4303" w:rsidRPr="00AE30B8" w:rsidRDefault="00CD4303" w:rsidP="00DA1716">
            <w:pPr>
              <w:jc w:val="center"/>
              <w:rPr>
                <w:b/>
              </w:rPr>
            </w:pPr>
          </w:p>
        </w:tc>
      </w:tr>
      <w:tr w:rsidR="00CD4303" w:rsidRPr="00AE30B8" w14:paraId="050959D1" w14:textId="77777777" w:rsidTr="00CD4303">
        <w:trPr>
          <w:trHeight w:val="610"/>
        </w:trPr>
        <w:tc>
          <w:tcPr>
            <w:tcW w:w="885" w:type="dxa"/>
          </w:tcPr>
          <w:p w14:paraId="2598DEE6" w14:textId="77777777" w:rsidR="00CD4303" w:rsidRPr="00AE30B8" w:rsidRDefault="00CD4303" w:rsidP="00CD4303">
            <w:pPr>
              <w:snapToGrid w:val="0"/>
              <w:jc w:val="center"/>
            </w:pPr>
            <w:r w:rsidRPr="00AE30B8">
              <w:t>4</w:t>
            </w:r>
          </w:p>
        </w:tc>
        <w:tc>
          <w:tcPr>
            <w:tcW w:w="4623" w:type="dxa"/>
          </w:tcPr>
          <w:p w14:paraId="75214DC6" w14:textId="77777777" w:rsidR="00CD4303" w:rsidRPr="00887E9E" w:rsidRDefault="00CD4303" w:rsidP="00DA1716">
            <w:pPr>
              <w:pStyle w:val="NoSpacing"/>
              <w:rPr>
                <w:sz w:val="24"/>
                <w:szCs w:val="24"/>
              </w:rPr>
            </w:pPr>
            <w:r w:rsidRPr="00DD1A48">
              <w:rPr>
                <w:sz w:val="24"/>
                <w:szCs w:val="24"/>
              </w:rPr>
              <w:t xml:space="preserve">To determine the </w:t>
            </w:r>
            <w:r>
              <w:rPr>
                <w:sz w:val="24"/>
                <w:szCs w:val="24"/>
              </w:rPr>
              <w:t>chemical pollutants in water samples using advanced analytical techniques</w:t>
            </w:r>
            <w:r w:rsidRPr="00DD1A48">
              <w:rPr>
                <w:sz w:val="24"/>
                <w:szCs w:val="24"/>
              </w:rPr>
              <w:t>.</w:t>
            </w:r>
          </w:p>
        </w:tc>
        <w:tc>
          <w:tcPr>
            <w:tcW w:w="1980" w:type="dxa"/>
          </w:tcPr>
          <w:p w14:paraId="110FFD37" w14:textId="2416E75C" w:rsidR="00CD4303" w:rsidRPr="00AE30B8" w:rsidRDefault="00F7078B" w:rsidP="00DA1716">
            <w:pPr>
              <w:jc w:val="center"/>
              <w:rPr>
                <w:b/>
              </w:rPr>
            </w:pPr>
            <w:r>
              <w:rPr>
                <w:b/>
              </w:rPr>
              <w:t>17/11/2021</w:t>
            </w:r>
          </w:p>
        </w:tc>
        <w:tc>
          <w:tcPr>
            <w:tcW w:w="1834" w:type="dxa"/>
          </w:tcPr>
          <w:p w14:paraId="6B699379" w14:textId="6F848B7E" w:rsidR="00CD4303" w:rsidRPr="00AE30B8" w:rsidRDefault="00F7078B" w:rsidP="00F7078B">
            <w:pPr>
              <w:jc w:val="center"/>
              <w:rPr>
                <w:b/>
              </w:rPr>
            </w:pPr>
            <w:r>
              <w:rPr>
                <w:b/>
              </w:rPr>
              <w:t>24/</w:t>
            </w:r>
            <w:r w:rsidR="003D3538">
              <w:rPr>
                <w:b/>
              </w:rPr>
              <w:t>11/2021</w:t>
            </w:r>
          </w:p>
        </w:tc>
        <w:tc>
          <w:tcPr>
            <w:tcW w:w="1701" w:type="dxa"/>
          </w:tcPr>
          <w:p w14:paraId="3FE9F23F" w14:textId="77777777" w:rsidR="00CD4303" w:rsidRPr="00AE30B8" w:rsidRDefault="00CD4303" w:rsidP="00DA1716">
            <w:pPr>
              <w:jc w:val="center"/>
              <w:rPr>
                <w:b/>
              </w:rPr>
            </w:pPr>
          </w:p>
        </w:tc>
      </w:tr>
      <w:tr w:rsidR="00CD4303" w:rsidRPr="00AE30B8" w14:paraId="21C3CE21" w14:textId="77777777" w:rsidTr="00CD4303">
        <w:trPr>
          <w:trHeight w:val="649"/>
        </w:trPr>
        <w:tc>
          <w:tcPr>
            <w:tcW w:w="885" w:type="dxa"/>
          </w:tcPr>
          <w:p w14:paraId="78941E47" w14:textId="77777777" w:rsidR="00CD4303" w:rsidRPr="00AE30B8" w:rsidRDefault="00CD4303" w:rsidP="00CD4303">
            <w:pPr>
              <w:snapToGrid w:val="0"/>
              <w:jc w:val="center"/>
            </w:pPr>
            <w:r w:rsidRPr="00AE30B8">
              <w:t>5</w:t>
            </w:r>
          </w:p>
        </w:tc>
        <w:tc>
          <w:tcPr>
            <w:tcW w:w="4623" w:type="dxa"/>
          </w:tcPr>
          <w:p w14:paraId="45785E9F" w14:textId="77777777" w:rsidR="00CD4303" w:rsidRPr="00DD1A48" w:rsidRDefault="00CD4303" w:rsidP="00DA1716">
            <w:pPr>
              <w:pStyle w:val="NoSpacing"/>
              <w:rPr>
                <w:color w:val="000000" w:themeColor="text1"/>
                <w:sz w:val="24"/>
                <w:szCs w:val="24"/>
                <w:lang w:eastAsia="en-IN"/>
              </w:rPr>
            </w:pPr>
            <w:r w:rsidRPr="00DD1A48">
              <w:rPr>
                <w:color w:val="000000" w:themeColor="text1"/>
                <w:sz w:val="24"/>
                <w:szCs w:val="24"/>
                <w:lang w:eastAsia="en-IN"/>
              </w:rPr>
              <w:t>Determine the viscosity average molecular weight of a polymer</w:t>
            </w:r>
          </w:p>
        </w:tc>
        <w:tc>
          <w:tcPr>
            <w:tcW w:w="1980" w:type="dxa"/>
          </w:tcPr>
          <w:p w14:paraId="1F72F646" w14:textId="038721A8" w:rsidR="00CD4303" w:rsidRPr="00AE30B8" w:rsidRDefault="00F7078B" w:rsidP="00DA1716">
            <w:pPr>
              <w:jc w:val="center"/>
              <w:rPr>
                <w:b/>
              </w:rPr>
            </w:pPr>
            <w:r>
              <w:rPr>
                <w:b/>
              </w:rPr>
              <w:t>24/11/2021</w:t>
            </w:r>
          </w:p>
        </w:tc>
        <w:tc>
          <w:tcPr>
            <w:tcW w:w="1834" w:type="dxa"/>
          </w:tcPr>
          <w:p w14:paraId="08CE6F91" w14:textId="354D77BC" w:rsidR="00CD4303" w:rsidRPr="00AE30B8" w:rsidRDefault="003D3538" w:rsidP="00DA1716">
            <w:pPr>
              <w:jc w:val="center"/>
              <w:rPr>
                <w:b/>
              </w:rPr>
            </w:pPr>
            <w:r>
              <w:rPr>
                <w:b/>
              </w:rPr>
              <w:t>02/12/2021</w:t>
            </w:r>
          </w:p>
        </w:tc>
        <w:tc>
          <w:tcPr>
            <w:tcW w:w="1701" w:type="dxa"/>
          </w:tcPr>
          <w:p w14:paraId="61CDCEAD" w14:textId="77777777" w:rsidR="00CD4303" w:rsidRPr="00AE30B8" w:rsidRDefault="00CD4303" w:rsidP="00DA1716">
            <w:pPr>
              <w:jc w:val="center"/>
              <w:rPr>
                <w:b/>
              </w:rPr>
            </w:pPr>
          </w:p>
        </w:tc>
      </w:tr>
      <w:tr w:rsidR="00CD4303" w:rsidRPr="00AE30B8" w14:paraId="234519D5" w14:textId="77777777" w:rsidTr="00CD4303">
        <w:trPr>
          <w:trHeight w:val="603"/>
        </w:trPr>
        <w:tc>
          <w:tcPr>
            <w:tcW w:w="885" w:type="dxa"/>
          </w:tcPr>
          <w:p w14:paraId="29B4EA11" w14:textId="77777777" w:rsidR="00CD4303" w:rsidRPr="0098782E" w:rsidRDefault="00CD4303" w:rsidP="00CD4303">
            <w:pPr>
              <w:snapToGrid w:val="0"/>
              <w:jc w:val="center"/>
              <w:rPr>
                <w:color w:val="000000" w:themeColor="text1"/>
              </w:rPr>
            </w:pPr>
            <w:r w:rsidRPr="0098782E">
              <w:rPr>
                <w:color w:val="000000" w:themeColor="text1"/>
              </w:rPr>
              <w:t>6</w:t>
            </w:r>
          </w:p>
        </w:tc>
        <w:tc>
          <w:tcPr>
            <w:tcW w:w="4623" w:type="dxa"/>
          </w:tcPr>
          <w:p w14:paraId="1169BED2" w14:textId="77777777" w:rsidR="00CD4303" w:rsidRPr="0098782E" w:rsidRDefault="00CD4303" w:rsidP="00DA1716">
            <w:pPr>
              <w:pStyle w:val="NoSpacing"/>
              <w:rPr>
                <w:color w:val="000000" w:themeColor="text1"/>
                <w:sz w:val="24"/>
                <w:szCs w:val="24"/>
              </w:rPr>
            </w:pPr>
            <w:r w:rsidRPr="0098782E">
              <w:rPr>
                <w:color w:val="000000" w:themeColor="text1"/>
                <w:sz w:val="24"/>
                <w:szCs w:val="24"/>
              </w:rPr>
              <w:t>To study the construction and working of compression molding.</w:t>
            </w:r>
          </w:p>
        </w:tc>
        <w:tc>
          <w:tcPr>
            <w:tcW w:w="1980" w:type="dxa"/>
          </w:tcPr>
          <w:p w14:paraId="6BB9E253" w14:textId="77F73CB6" w:rsidR="00CD4303" w:rsidRPr="00AE30B8" w:rsidRDefault="003D3538" w:rsidP="00DA1716">
            <w:pPr>
              <w:jc w:val="center"/>
              <w:rPr>
                <w:b/>
              </w:rPr>
            </w:pPr>
            <w:r>
              <w:rPr>
                <w:b/>
              </w:rPr>
              <w:t>0</w:t>
            </w:r>
            <w:r w:rsidR="00F7078B">
              <w:rPr>
                <w:b/>
              </w:rPr>
              <w:t>2/12/2021</w:t>
            </w:r>
          </w:p>
        </w:tc>
        <w:tc>
          <w:tcPr>
            <w:tcW w:w="1834" w:type="dxa"/>
          </w:tcPr>
          <w:p w14:paraId="23DE523C" w14:textId="7BE2C670" w:rsidR="00CD4303" w:rsidRPr="00AE30B8" w:rsidRDefault="003D3538" w:rsidP="00DA1716">
            <w:pPr>
              <w:jc w:val="center"/>
              <w:rPr>
                <w:b/>
              </w:rPr>
            </w:pPr>
            <w:r>
              <w:rPr>
                <w:b/>
              </w:rPr>
              <w:t>08/12/2021</w:t>
            </w:r>
          </w:p>
        </w:tc>
        <w:tc>
          <w:tcPr>
            <w:tcW w:w="1701" w:type="dxa"/>
          </w:tcPr>
          <w:p w14:paraId="52E56223" w14:textId="77777777" w:rsidR="00CD4303" w:rsidRPr="00AE30B8" w:rsidRDefault="00CD4303" w:rsidP="00DA1716">
            <w:pPr>
              <w:jc w:val="center"/>
              <w:rPr>
                <w:b/>
              </w:rPr>
            </w:pPr>
          </w:p>
        </w:tc>
      </w:tr>
      <w:tr w:rsidR="00CD4303" w:rsidRPr="00AE30B8" w14:paraId="04C306C5" w14:textId="77777777" w:rsidTr="00CD4303">
        <w:trPr>
          <w:trHeight w:val="653"/>
        </w:trPr>
        <w:tc>
          <w:tcPr>
            <w:tcW w:w="885" w:type="dxa"/>
          </w:tcPr>
          <w:p w14:paraId="75697EEC" w14:textId="77777777" w:rsidR="00CD4303" w:rsidRPr="00AE30B8" w:rsidRDefault="00CD4303" w:rsidP="00CD4303">
            <w:pPr>
              <w:snapToGrid w:val="0"/>
              <w:jc w:val="center"/>
            </w:pPr>
            <w:r w:rsidRPr="00AE30B8">
              <w:t>7</w:t>
            </w:r>
          </w:p>
        </w:tc>
        <w:tc>
          <w:tcPr>
            <w:tcW w:w="4623" w:type="dxa"/>
          </w:tcPr>
          <w:p w14:paraId="4C7C6E50" w14:textId="34617D25" w:rsidR="00CD4303" w:rsidRPr="00887E9E" w:rsidRDefault="00CD4303" w:rsidP="00DA1716">
            <w:pPr>
              <w:pStyle w:val="NoSpacing"/>
              <w:rPr>
                <w:color w:val="000000" w:themeColor="text1"/>
                <w:sz w:val="24"/>
                <w:szCs w:val="24"/>
                <w:lang w:eastAsia="en-IN"/>
              </w:rPr>
            </w:pPr>
            <w:r w:rsidRPr="00DD1A48">
              <w:rPr>
                <w:color w:val="000000" w:themeColor="text1"/>
                <w:sz w:val="24"/>
                <w:szCs w:val="24"/>
                <w:lang w:val="en-GB" w:eastAsia="en-IN"/>
              </w:rPr>
              <w:t xml:space="preserve">To find out the unknown concentration of the sample </w:t>
            </w:r>
            <w:r w:rsidR="0098782E" w:rsidRPr="00DD1A48">
              <w:rPr>
                <w:color w:val="000000" w:themeColor="text1"/>
                <w:sz w:val="24"/>
                <w:szCs w:val="24"/>
                <w:lang w:val="en-GB" w:eastAsia="en-IN"/>
              </w:rPr>
              <w:t>and verification</w:t>
            </w:r>
            <w:r w:rsidRPr="00DD1A48">
              <w:rPr>
                <w:color w:val="000000" w:themeColor="text1"/>
                <w:sz w:val="24"/>
                <w:szCs w:val="24"/>
                <w:lang w:val="en-GB" w:eastAsia="en-IN"/>
              </w:rPr>
              <w:t xml:space="preserve"> of Beer-Lambert's Law</w:t>
            </w:r>
          </w:p>
        </w:tc>
        <w:tc>
          <w:tcPr>
            <w:tcW w:w="1980" w:type="dxa"/>
          </w:tcPr>
          <w:p w14:paraId="07547A01" w14:textId="26D47A69" w:rsidR="00CD4303" w:rsidRPr="00AE30B8" w:rsidRDefault="003D3538" w:rsidP="00DA1716">
            <w:pPr>
              <w:jc w:val="center"/>
              <w:rPr>
                <w:b/>
              </w:rPr>
            </w:pPr>
            <w:r>
              <w:rPr>
                <w:b/>
              </w:rPr>
              <w:t>8/12/2021</w:t>
            </w:r>
          </w:p>
        </w:tc>
        <w:tc>
          <w:tcPr>
            <w:tcW w:w="1834" w:type="dxa"/>
          </w:tcPr>
          <w:p w14:paraId="5043CB0F" w14:textId="0BCDFEE4" w:rsidR="00CD4303" w:rsidRPr="00AE30B8" w:rsidRDefault="003D3538" w:rsidP="00DA1716">
            <w:pPr>
              <w:jc w:val="center"/>
              <w:rPr>
                <w:b/>
              </w:rPr>
            </w:pPr>
            <w:r>
              <w:rPr>
                <w:b/>
              </w:rPr>
              <w:t>05/01/2022</w:t>
            </w:r>
          </w:p>
        </w:tc>
        <w:tc>
          <w:tcPr>
            <w:tcW w:w="1701" w:type="dxa"/>
          </w:tcPr>
          <w:p w14:paraId="07459315" w14:textId="77777777" w:rsidR="00CD4303" w:rsidRPr="00AE30B8" w:rsidRDefault="00CD4303" w:rsidP="00DA1716">
            <w:pPr>
              <w:jc w:val="center"/>
              <w:rPr>
                <w:b/>
              </w:rPr>
            </w:pPr>
          </w:p>
        </w:tc>
      </w:tr>
      <w:tr w:rsidR="00CD4303" w:rsidRPr="00AE30B8" w14:paraId="3D2FCFC1" w14:textId="77777777" w:rsidTr="00CD4303">
        <w:trPr>
          <w:trHeight w:val="563"/>
        </w:trPr>
        <w:tc>
          <w:tcPr>
            <w:tcW w:w="885" w:type="dxa"/>
          </w:tcPr>
          <w:p w14:paraId="44B0A208" w14:textId="77777777" w:rsidR="00CD4303" w:rsidRPr="00AE30B8" w:rsidRDefault="00CD4303" w:rsidP="00CD4303">
            <w:pPr>
              <w:snapToGrid w:val="0"/>
              <w:jc w:val="center"/>
            </w:pPr>
            <w:r w:rsidRPr="00AE30B8">
              <w:t>8</w:t>
            </w:r>
          </w:p>
        </w:tc>
        <w:tc>
          <w:tcPr>
            <w:tcW w:w="4623" w:type="dxa"/>
          </w:tcPr>
          <w:p w14:paraId="6CD2C762" w14:textId="77777777" w:rsidR="00CD4303" w:rsidRPr="00887E9E" w:rsidRDefault="00CD4303" w:rsidP="00DA1716">
            <w:pPr>
              <w:pStyle w:val="NoSpacing"/>
              <w:rPr>
                <w:color w:val="000000" w:themeColor="text1"/>
                <w:sz w:val="24"/>
                <w:szCs w:val="24"/>
                <w:shd w:val="clear" w:color="auto" w:fill="FFFFFF"/>
              </w:rPr>
            </w:pPr>
            <w:r w:rsidRPr="00DD1A48">
              <w:rPr>
                <w:color w:val="000000" w:themeColor="text1"/>
                <w:sz w:val="24"/>
                <w:szCs w:val="24"/>
                <w:shd w:val="clear" w:color="auto" w:fill="FFFFFF"/>
              </w:rPr>
              <w:t>To determine the available nitrogen in the soil sample by Kjeldahl Method</w:t>
            </w:r>
          </w:p>
        </w:tc>
        <w:tc>
          <w:tcPr>
            <w:tcW w:w="1980" w:type="dxa"/>
          </w:tcPr>
          <w:p w14:paraId="6537F28F" w14:textId="285BD05D" w:rsidR="00CD4303" w:rsidRPr="00AE30B8" w:rsidRDefault="003D3538" w:rsidP="00DA1716">
            <w:pPr>
              <w:jc w:val="center"/>
              <w:rPr>
                <w:b/>
              </w:rPr>
            </w:pPr>
            <w:r>
              <w:rPr>
                <w:b/>
              </w:rPr>
              <w:t>15/12/2021</w:t>
            </w:r>
          </w:p>
        </w:tc>
        <w:tc>
          <w:tcPr>
            <w:tcW w:w="1834" w:type="dxa"/>
          </w:tcPr>
          <w:p w14:paraId="6DFB9E20" w14:textId="65ECE9FF" w:rsidR="00CD4303" w:rsidRPr="00AE30B8" w:rsidRDefault="003D3538" w:rsidP="00DA1716">
            <w:pPr>
              <w:jc w:val="center"/>
              <w:rPr>
                <w:b/>
              </w:rPr>
            </w:pPr>
            <w:r>
              <w:rPr>
                <w:b/>
              </w:rPr>
              <w:t>05/01/2022</w:t>
            </w:r>
          </w:p>
        </w:tc>
        <w:tc>
          <w:tcPr>
            <w:tcW w:w="1701" w:type="dxa"/>
          </w:tcPr>
          <w:p w14:paraId="70DF9E56" w14:textId="77777777" w:rsidR="00CD4303" w:rsidRPr="00AE30B8" w:rsidRDefault="00CD4303" w:rsidP="00DA1716">
            <w:pPr>
              <w:jc w:val="center"/>
              <w:rPr>
                <w:b/>
              </w:rPr>
            </w:pPr>
          </w:p>
        </w:tc>
      </w:tr>
      <w:tr w:rsidR="0098782E" w:rsidRPr="00AE30B8" w14:paraId="7EAE462C" w14:textId="77777777" w:rsidTr="00CD4303">
        <w:trPr>
          <w:trHeight w:val="591"/>
        </w:trPr>
        <w:tc>
          <w:tcPr>
            <w:tcW w:w="885" w:type="dxa"/>
          </w:tcPr>
          <w:p w14:paraId="2B2B7304" w14:textId="77777777" w:rsidR="0098782E" w:rsidRPr="00AE30B8" w:rsidRDefault="0098782E" w:rsidP="0098782E">
            <w:pPr>
              <w:snapToGrid w:val="0"/>
              <w:jc w:val="center"/>
            </w:pPr>
            <w:r w:rsidRPr="00AE30B8">
              <w:t>9</w:t>
            </w:r>
          </w:p>
        </w:tc>
        <w:tc>
          <w:tcPr>
            <w:tcW w:w="4623" w:type="dxa"/>
          </w:tcPr>
          <w:p w14:paraId="50E8264A" w14:textId="7F66CF15" w:rsidR="0098782E" w:rsidRPr="00DD1A48" w:rsidRDefault="0098782E" w:rsidP="0098782E">
            <w:pPr>
              <w:pStyle w:val="NoSpacing"/>
              <w:rPr>
                <w:sz w:val="24"/>
                <w:szCs w:val="24"/>
              </w:rPr>
            </w:pPr>
            <w:r>
              <w:rPr>
                <w:sz w:val="24"/>
                <w:szCs w:val="24"/>
              </w:rPr>
              <w:t xml:space="preserve">To measure the EMF of a </w:t>
            </w:r>
            <w:r w:rsidRPr="002E5474">
              <w:rPr>
                <w:sz w:val="24"/>
                <w:szCs w:val="24"/>
              </w:rPr>
              <w:t xml:space="preserve">cell and </w:t>
            </w:r>
            <w:r w:rsidRPr="002E5474">
              <w:rPr>
                <w:color w:val="000000"/>
                <w:sz w:val="24"/>
                <w:szCs w:val="24"/>
                <w:shd w:val="clear" w:color="auto" w:fill="FFFFFF"/>
              </w:rPr>
              <w:t>predict the spontaneity of the cell reaction</w:t>
            </w:r>
            <w:r>
              <w:rPr>
                <w:color w:val="000000"/>
                <w:sz w:val="24"/>
                <w:szCs w:val="24"/>
                <w:shd w:val="clear" w:color="auto" w:fill="FFFFFF"/>
              </w:rPr>
              <w:t xml:space="preserve">. </w:t>
            </w:r>
          </w:p>
        </w:tc>
        <w:tc>
          <w:tcPr>
            <w:tcW w:w="1980" w:type="dxa"/>
          </w:tcPr>
          <w:p w14:paraId="44E871BC" w14:textId="253C55E2" w:rsidR="0098782E" w:rsidRPr="00AE30B8" w:rsidRDefault="003D3538" w:rsidP="0098782E">
            <w:pPr>
              <w:jc w:val="center"/>
              <w:rPr>
                <w:b/>
              </w:rPr>
            </w:pPr>
            <w:r>
              <w:rPr>
                <w:b/>
              </w:rPr>
              <w:t>05/01/2022</w:t>
            </w:r>
          </w:p>
        </w:tc>
        <w:tc>
          <w:tcPr>
            <w:tcW w:w="1834" w:type="dxa"/>
          </w:tcPr>
          <w:p w14:paraId="144A5D23" w14:textId="1FBBE37A" w:rsidR="0098782E" w:rsidRPr="00AE30B8" w:rsidRDefault="003D3538" w:rsidP="0098782E">
            <w:pPr>
              <w:jc w:val="center"/>
              <w:rPr>
                <w:b/>
              </w:rPr>
            </w:pPr>
            <w:r>
              <w:rPr>
                <w:b/>
              </w:rPr>
              <w:t>19/01/2022</w:t>
            </w:r>
          </w:p>
        </w:tc>
        <w:tc>
          <w:tcPr>
            <w:tcW w:w="1701" w:type="dxa"/>
          </w:tcPr>
          <w:p w14:paraId="738610EB" w14:textId="77777777" w:rsidR="0098782E" w:rsidRPr="00AE30B8" w:rsidRDefault="0098782E" w:rsidP="0098782E">
            <w:pPr>
              <w:jc w:val="center"/>
              <w:rPr>
                <w:b/>
              </w:rPr>
            </w:pPr>
          </w:p>
        </w:tc>
      </w:tr>
      <w:tr w:rsidR="0098782E" w:rsidRPr="00AE30B8" w14:paraId="266246B6" w14:textId="77777777" w:rsidTr="00CD4303">
        <w:trPr>
          <w:trHeight w:val="665"/>
        </w:trPr>
        <w:tc>
          <w:tcPr>
            <w:tcW w:w="885" w:type="dxa"/>
          </w:tcPr>
          <w:p w14:paraId="5D369756" w14:textId="77777777" w:rsidR="0098782E" w:rsidRPr="00AE30B8" w:rsidRDefault="0098782E" w:rsidP="0098782E">
            <w:pPr>
              <w:snapToGrid w:val="0"/>
              <w:jc w:val="center"/>
            </w:pPr>
            <w:r w:rsidRPr="00AE30B8">
              <w:t>10</w:t>
            </w:r>
          </w:p>
        </w:tc>
        <w:tc>
          <w:tcPr>
            <w:tcW w:w="4623" w:type="dxa"/>
          </w:tcPr>
          <w:p w14:paraId="5441045C" w14:textId="77777777" w:rsidR="0098782E" w:rsidRDefault="0098782E" w:rsidP="0098782E">
            <w:pPr>
              <w:pStyle w:val="NoSpacing"/>
              <w:rPr>
                <w:sz w:val="24"/>
                <w:szCs w:val="24"/>
              </w:rPr>
            </w:pPr>
            <w:r w:rsidRPr="00DD1A48">
              <w:rPr>
                <w:sz w:val="24"/>
                <w:szCs w:val="24"/>
              </w:rPr>
              <w:t xml:space="preserve">Interpretation of IR spectra </w:t>
            </w:r>
          </w:p>
          <w:p w14:paraId="370935E7" w14:textId="2E553170" w:rsidR="0098782E" w:rsidRPr="00DD1A48" w:rsidRDefault="0098782E" w:rsidP="0098782E">
            <w:pPr>
              <w:pStyle w:val="NoSpacing"/>
              <w:rPr>
                <w:sz w:val="24"/>
                <w:szCs w:val="24"/>
              </w:rPr>
            </w:pPr>
          </w:p>
        </w:tc>
        <w:tc>
          <w:tcPr>
            <w:tcW w:w="1980" w:type="dxa"/>
          </w:tcPr>
          <w:p w14:paraId="637805D2" w14:textId="51AB5899" w:rsidR="0098782E" w:rsidRPr="00AE30B8" w:rsidRDefault="003D3538" w:rsidP="0098782E">
            <w:pPr>
              <w:jc w:val="center"/>
              <w:rPr>
                <w:b/>
              </w:rPr>
            </w:pPr>
            <w:r>
              <w:rPr>
                <w:b/>
              </w:rPr>
              <w:t>12/01/2022</w:t>
            </w:r>
          </w:p>
        </w:tc>
        <w:tc>
          <w:tcPr>
            <w:tcW w:w="1834" w:type="dxa"/>
          </w:tcPr>
          <w:p w14:paraId="463F29E8" w14:textId="3D563599" w:rsidR="0098782E" w:rsidRPr="00AE30B8" w:rsidRDefault="003D3538" w:rsidP="0098782E">
            <w:pPr>
              <w:jc w:val="center"/>
              <w:rPr>
                <w:b/>
              </w:rPr>
            </w:pPr>
            <w:r>
              <w:rPr>
                <w:b/>
              </w:rPr>
              <w:t>19/01/2022</w:t>
            </w:r>
          </w:p>
        </w:tc>
        <w:tc>
          <w:tcPr>
            <w:tcW w:w="1701" w:type="dxa"/>
          </w:tcPr>
          <w:p w14:paraId="3B7B4B86" w14:textId="77777777" w:rsidR="0098782E" w:rsidRPr="00AE30B8" w:rsidRDefault="0098782E" w:rsidP="0098782E">
            <w:pPr>
              <w:jc w:val="center"/>
              <w:rPr>
                <w:b/>
              </w:rPr>
            </w:pPr>
          </w:p>
        </w:tc>
      </w:tr>
    </w:tbl>
    <w:p w14:paraId="54CD245A" w14:textId="77777777" w:rsidR="005D3DC2" w:rsidRPr="00E5379A" w:rsidRDefault="005D3DC2" w:rsidP="005D3DC2">
      <w:pPr>
        <w:jc w:val="center"/>
        <w:rPr>
          <w:b/>
          <w:sz w:val="28"/>
          <w:szCs w:val="28"/>
        </w:rPr>
      </w:pPr>
    </w:p>
    <w:p w14:paraId="1231BE67" w14:textId="77777777" w:rsidR="005D3DC2" w:rsidRDefault="005D3DC2" w:rsidP="0067282A">
      <w:pPr>
        <w:jc w:val="center"/>
      </w:pPr>
    </w:p>
    <w:p w14:paraId="36FEB5B0" w14:textId="77777777" w:rsidR="005D3DC2" w:rsidRDefault="005D3DC2">
      <w:pPr>
        <w:spacing w:after="200" w:line="276" w:lineRule="auto"/>
      </w:pPr>
      <w:r>
        <w:br w:type="page"/>
      </w:r>
    </w:p>
    <w:p w14:paraId="30D7AA69" w14:textId="77777777" w:rsidR="005D3DC2" w:rsidRDefault="005D3DC2" w:rsidP="0067282A">
      <w:pPr>
        <w:jc w:val="center"/>
      </w:pPr>
    </w:p>
    <w:p w14:paraId="7196D064" w14:textId="77777777" w:rsidR="005D3DC2" w:rsidRDefault="005D3DC2" w:rsidP="005D3DC2">
      <w:pPr>
        <w:jc w:val="center"/>
        <w:rPr>
          <w:sz w:val="36"/>
          <w:szCs w:val="36"/>
          <w:u w:val="single"/>
        </w:rPr>
      </w:pPr>
    </w:p>
    <w:p w14:paraId="34FF1C98" w14:textId="77777777" w:rsidR="005D3DC2" w:rsidRDefault="005D3DC2" w:rsidP="005D3DC2">
      <w:pPr>
        <w:jc w:val="center"/>
        <w:rPr>
          <w:sz w:val="36"/>
          <w:szCs w:val="36"/>
          <w:u w:val="single"/>
        </w:rPr>
      </w:pPr>
    </w:p>
    <w:p w14:paraId="0857368D" w14:textId="77777777" w:rsidR="005D3DC2" w:rsidRPr="00E5379A" w:rsidRDefault="005D3DC2" w:rsidP="005D3DC2">
      <w:pPr>
        <w:jc w:val="center"/>
        <w:rPr>
          <w:b/>
          <w:iCs/>
          <w:u w:val="single"/>
        </w:rPr>
      </w:pPr>
      <w:r w:rsidRPr="00E5379A">
        <w:rPr>
          <w:sz w:val="36"/>
          <w:szCs w:val="36"/>
          <w:u w:val="single"/>
        </w:rPr>
        <w:t>COMMON LABORATORY GLASSWARES</w:t>
      </w:r>
    </w:p>
    <w:p w14:paraId="6D072C0D" w14:textId="77777777" w:rsidR="005D3DC2" w:rsidRPr="00E5379A" w:rsidRDefault="005D3DC2" w:rsidP="005D3DC2">
      <w:pPr>
        <w:jc w:val="center"/>
        <w:rPr>
          <w:b/>
          <w:iCs/>
        </w:rPr>
      </w:pPr>
    </w:p>
    <w:p w14:paraId="48A21919" w14:textId="77777777" w:rsidR="005D3DC2" w:rsidRPr="00E5379A" w:rsidRDefault="005D3DC2" w:rsidP="005D3DC2">
      <w:pPr>
        <w:jc w:val="center"/>
        <w:rPr>
          <w:b/>
          <w:iCs/>
        </w:rPr>
      </w:pPr>
      <w:r w:rsidRPr="00E5379A">
        <w:rPr>
          <w:b/>
          <w:iCs/>
          <w:noProof/>
        </w:rPr>
        <w:drawing>
          <wp:inline distT="0" distB="0" distL="0" distR="0" wp14:anchorId="77383758" wp14:editId="42B02D92">
            <wp:extent cx="4124325" cy="1828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828800"/>
                    </a:xfrm>
                    <a:prstGeom prst="rect">
                      <a:avLst/>
                    </a:prstGeom>
                    <a:noFill/>
                    <a:ln>
                      <a:noFill/>
                    </a:ln>
                  </pic:spPr>
                </pic:pic>
              </a:graphicData>
            </a:graphic>
          </wp:inline>
        </w:drawing>
      </w:r>
    </w:p>
    <w:p w14:paraId="6BD18F9B" w14:textId="77777777" w:rsidR="005D3DC2" w:rsidRPr="00E5379A" w:rsidRDefault="005D3DC2" w:rsidP="005D3DC2">
      <w:pPr>
        <w:jc w:val="center"/>
        <w:rPr>
          <w:b/>
          <w:iCs/>
        </w:rPr>
      </w:pPr>
      <w:r>
        <w:rPr>
          <w:noProof/>
        </w:rPr>
        <w:drawing>
          <wp:inline distT="0" distB="0" distL="0" distR="0" wp14:anchorId="7BD10497" wp14:editId="35342C26">
            <wp:extent cx="3790950" cy="28073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790950" cy="2807313"/>
                    </a:xfrm>
                    <a:prstGeom prst="rect">
                      <a:avLst/>
                    </a:prstGeom>
                  </pic:spPr>
                </pic:pic>
              </a:graphicData>
            </a:graphic>
          </wp:inline>
        </w:drawing>
      </w:r>
    </w:p>
    <w:p w14:paraId="238601FE" w14:textId="7C120E1F" w:rsidR="005D3DC2" w:rsidRPr="0098782E" w:rsidRDefault="005D3DC2" w:rsidP="0098782E"/>
    <w:sectPr w:rsidR="005D3DC2" w:rsidRPr="0098782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0142" w14:textId="77777777" w:rsidR="00E427A0" w:rsidRDefault="00E427A0" w:rsidP="00847A8C">
      <w:r>
        <w:separator/>
      </w:r>
    </w:p>
  </w:endnote>
  <w:endnote w:type="continuationSeparator" w:id="0">
    <w:p w14:paraId="6C52BCF8" w14:textId="77777777" w:rsidR="00E427A0" w:rsidRDefault="00E427A0" w:rsidP="0084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EA1C" w14:textId="116C3997" w:rsidR="00847A8C" w:rsidRDefault="00847A8C" w:rsidP="00CD4303">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5A63CFFB" wp14:editId="422EB75C">
              <wp:simplePos x="0" y="0"/>
              <wp:positionH relativeFrom="column">
                <wp:posOffset>-612843</wp:posOffset>
              </wp:positionH>
              <wp:positionV relativeFrom="paragraph">
                <wp:posOffset>29575</wp:posOffset>
              </wp:positionV>
              <wp:extent cx="1624520" cy="1403985"/>
              <wp:effectExtent l="0" t="0" r="1397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520" cy="1403985"/>
                      </a:xfrm>
                      <a:prstGeom prst="rect">
                        <a:avLst/>
                      </a:prstGeom>
                      <a:solidFill>
                        <a:srgbClr val="FFFFFF"/>
                      </a:solidFill>
                      <a:ln w="9525">
                        <a:solidFill>
                          <a:srgbClr val="000000"/>
                        </a:solidFill>
                        <a:miter lim="800000"/>
                        <a:headEnd/>
                        <a:tailEnd/>
                      </a:ln>
                    </wps:spPr>
                    <wps:txbx>
                      <w:txbxContent>
                        <w:p w14:paraId="196E5F35" w14:textId="77777777" w:rsidR="00847A8C" w:rsidRDefault="00847A8C" w:rsidP="001D5605">
                          <w:pPr>
                            <w:jc w:val="both"/>
                          </w:pPr>
                          <w:r>
                            <w:t xml:space="preserve">EC </w:t>
                          </w:r>
                          <w:r w:rsidR="001D5605">
                            <w:t>Sem-1 (2021-22)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63CFFB" id="_x0000_t202" coordsize="21600,21600" o:spt="202" path="m,l,21600r21600,l21600,xe">
              <v:stroke joinstyle="miter"/>
              <v:path gradientshapeok="t" o:connecttype="rect"/>
            </v:shapetype>
            <v:shape id="Text Box 2" o:spid="_x0000_s1026" type="#_x0000_t202" style="position:absolute;left:0;text-align:left;margin-left:-48.25pt;margin-top:2.35pt;width:127.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">
              <v:textbox style="mso-fit-shape-to-text:t">
                <w:txbxContent>
                  <w:p w14:paraId="196E5F35" w14:textId="77777777" w:rsidR="00847A8C" w:rsidRDefault="00847A8C" w:rsidP="001D5605">
                    <w:pPr>
                      <w:jc w:val="both"/>
                    </w:pPr>
                    <w:r>
                      <w:t xml:space="preserve">EC </w:t>
                    </w:r>
                    <w:r w:rsidR="001D5605">
                      <w:t>Sem-1 (2021-22)</w:t>
                    </w:r>
                  </w:p>
                </w:txbxContent>
              </v:textbox>
            </v:shape>
          </w:pict>
        </mc:Fallback>
      </mc:AlternateContent>
    </w:r>
    <w:sdt>
      <w:sdtPr>
        <w:rPr>
          <w:rFonts w:asciiTheme="majorHAnsi" w:eastAsiaTheme="majorEastAsia" w:hAnsiTheme="majorHAnsi" w:cstheme="majorBidi"/>
          <w:sz w:val="28"/>
          <w:szCs w:val="28"/>
        </w:rPr>
        <w:id w:val="-1379086369"/>
        <w:docPartObj>
          <w:docPartGallery w:val="Page Numbers (Bottom of Page)"/>
          <w:docPartUnique/>
        </w:docPartObj>
      </w:sdtPr>
      <w:sdtEndPr>
        <w:rPr>
          <w:noProof/>
        </w:rPr>
      </w:sdtEndPr>
      <w:sdtContent/>
    </w:sdt>
  </w:p>
  <w:p w14:paraId="4B1F511A" w14:textId="77777777" w:rsidR="00847A8C" w:rsidRDefault="00847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640AB" w14:textId="77777777" w:rsidR="00E427A0" w:rsidRDefault="00E427A0" w:rsidP="00847A8C">
      <w:r>
        <w:separator/>
      </w:r>
    </w:p>
  </w:footnote>
  <w:footnote w:type="continuationSeparator" w:id="0">
    <w:p w14:paraId="2DE08195" w14:textId="77777777" w:rsidR="00E427A0" w:rsidRDefault="00E427A0" w:rsidP="00847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B8AC" w14:textId="77777777" w:rsidR="00847A8C" w:rsidRPr="00847A8C" w:rsidRDefault="00847A8C" w:rsidP="00847A8C">
    <w:pPr>
      <w:tabs>
        <w:tab w:val="left" w:pos="4195"/>
        <w:tab w:val="left" w:pos="5300"/>
        <w:tab w:val="left" w:pos="5340"/>
      </w:tabs>
      <w:jc w:val="center"/>
      <w:rPr>
        <w:b/>
      </w:rPr>
    </w:pPr>
    <w:r>
      <w:rPr>
        <w:noProof/>
      </w:rPr>
      <w:drawing>
        <wp:anchor distT="36576" distB="36576" distL="36576" distR="36576" simplePos="0" relativeHeight="251660288" behindDoc="0" locked="0" layoutInCell="1" allowOverlap="1" wp14:anchorId="53A24BF6" wp14:editId="14490C77">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36576" distB="36576" distL="36576" distR="36576" simplePos="0" relativeHeight="251659264" behindDoc="0" locked="0" layoutInCell="1" allowOverlap="1" wp14:anchorId="34695E29" wp14:editId="494E15AC">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b/>
      </w:rPr>
      <w:t>K. J. Somaiya College of Engineering, Vidyavihar, Mumbai 400077.</w:t>
    </w:r>
  </w:p>
  <w:p w14:paraId="0BB024F3" w14:textId="77777777" w:rsidR="00847A8C" w:rsidRPr="00847A8C" w:rsidRDefault="00847A8C" w:rsidP="00847A8C">
    <w:pPr>
      <w:tabs>
        <w:tab w:val="left" w:pos="4195"/>
        <w:tab w:val="left" w:pos="5300"/>
        <w:tab w:val="left" w:pos="5340"/>
      </w:tabs>
      <w:jc w:val="center"/>
      <w:rPr>
        <w:sz w:val="20"/>
        <w:szCs w:val="20"/>
      </w:rPr>
    </w:pPr>
    <w:r w:rsidRPr="00847A8C">
      <w:rPr>
        <w:b/>
        <w:sz w:val="20"/>
        <w:szCs w:val="20"/>
      </w:rPr>
      <w:t>(A Constituent College of Somaiya Vidyavihar University.)</w:t>
    </w:r>
  </w:p>
  <w:p w14:paraId="65F9C3DC" w14:textId="77777777" w:rsidR="00847A8C" w:rsidRDefault="00847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23FFB"/>
    <w:multiLevelType w:val="multilevel"/>
    <w:tmpl w:val="6840FB9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E6"/>
    <w:rsid w:val="000076BD"/>
    <w:rsid w:val="000725DF"/>
    <w:rsid w:val="00075244"/>
    <w:rsid w:val="00110BDE"/>
    <w:rsid w:val="00141624"/>
    <w:rsid w:val="001D5605"/>
    <w:rsid w:val="00213386"/>
    <w:rsid w:val="002E5474"/>
    <w:rsid w:val="00355BCE"/>
    <w:rsid w:val="0036483F"/>
    <w:rsid w:val="003D3538"/>
    <w:rsid w:val="00420BB5"/>
    <w:rsid w:val="00453748"/>
    <w:rsid w:val="004544E6"/>
    <w:rsid w:val="004A58C4"/>
    <w:rsid w:val="00587D60"/>
    <w:rsid w:val="005D3DC2"/>
    <w:rsid w:val="00620A87"/>
    <w:rsid w:val="0067282A"/>
    <w:rsid w:val="007E7DA9"/>
    <w:rsid w:val="007F2B3F"/>
    <w:rsid w:val="008173FE"/>
    <w:rsid w:val="00847A8C"/>
    <w:rsid w:val="00887E9E"/>
    <w:rsid w:val="008C419C"/>
    <w:rsid w:val="0098782E"/>
    <w:rsid w:val="009F76D0"/>
    <w:rsid w:val="00A952EA"/>
    <w:rsid w:val="00AC17CF"/>
    <w:rsid w:val="00AE724B"/>
    <w:rsid w:val="00AF390E"/>
    <w:rsid w:val="00B96C58"/>
    <w:rsid w:val="00BD062B"/>
    <w:rsid w:val="00BF11A2"/>
    <w:rsid w:val="00CD4303"/>
    <w:rsid w:val="00D22ED4"/>
    <w:rsid w:val="00D876B0"/>
    <w:rsid w:val="00DA5434"/>
    <w:rsid w:val="00DD1A48"/>
    <w:rsid w:val="00E21F98"/>
    <w:rsid w:val="00E427A0"/>
    <w:rsid w:val="00E9573E"/>
    <w:rsid w:val="00F7078B"/>
    <w:rsid w:val="00F844F8"/>
    <w:rsid w:val="00FA5447"/>
    <w:rsid w:val="3534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41E03"/>
  <w15:docId w15:val="{1B1CAAB7-1F1C-464C-A4FC-A831D5F0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2A"/>
    <w:pPr>
      <w:ind w:left="720"/>
      <w:contextualSpacing/>
    </w:pPr>
    <w:rPr>
      <w:rFonts w:ascii="Calibri" w:eastAsia="Calibri" w:hAnsi="Calibri"/>
    </w:rPr>
  </w:style>
  <w:style w:type="paragraph" w:styleId="BodyText2">
    <w:name w:val="Body Text 2"/>
    <w:basedOn w:val="Normal"/>
    <w:link w:val="BodyText2Char"/>
    <w:rsid w:val="00075244"/>
    <w:pPr>
      <w:framePr w:hSpace="180" w:wrap="around" w:vAnchor="text" w:hAnchor="margin" w:y="446"/>
    </w:pPr>
    <w:rPr>
      <w:sz w:val="18"/>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13" ma:contentTypeDescription="Create a new document." ma:contentTypeScope="" ma:versionID="05227f864715f2ba97f73fb53cd5a034">
  <xsd:schema xmlns:xsd="http://www.w3.org/2001/XMLSchema" xmlns:xs="http://www.w3.org/2001/XMLSchema" xmlns:p="http://schemas.microsoft.com/office/2006/metadata/properties" xmlns:ns2="ac092533-9782-45c4-b568-d57eb1ffa5d6" xmlns:ns3="40783868-3de4-4b34-bcbd-0e82dfc7c48a" targetNamespace="http://schemas.microsoft.com/office/2006/metadata/properties" ma:root="true" ma:fieldsID="519c11df8a69bda69b9034b3c7397783" ns2:_="" ns3:_="">
    <xsd:import namespace="ac092533-9782-45c4-b568-d57eb1ffa5d6"/>
    <xsd:import namespace="40783868-3de4-4b34-bcbd-0e82dfc7c4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783868-3de4-4b34-bcbd-0e82dfc7c4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57612-AE0E-4712-90D7-9B6C89E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014F33-FE75-4979-9933-8994A447DAF5}">
  <ds:schemaRefs>
    <ds:schemaRef ds:uri="http://schemas.microsoft.com/sharepoint/v3/contenttype/forms"/>
  </ds:schemaRefs>
</ds:datastoreItem>
</file>

<file path=customXml/itemProps3.xml><?xml version="1.0" encoding="utf-8"?>
<ds:datastoreItem xmlns:ds="http://schemas.openxmlformats.org/officeDocument/2006/customXml" ds:itemID="{BD795E15-B720-464C-97F2-1D5F354C2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40783868-3de4-4b34-bcbd-0e82dfc7c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Pargat  Singh</cp:lastModifiedBy>
  <cp:revision>2</cp:revision>
  <dcterms:created xsi:type="dcterms:W3CDTF">2022-01-27T19:27:00Z</dcterms:created>
  <dcterms:modified xsi:type="dcterms:W3CDTF">2022-01-27T19:27:00Z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