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3BFC42" w14:textId="77777777" w:rsidR="00485A85" w:rsidRDefault="00AE0D53">
      <w:pPr>
        <w:jc w:val="center"/>
        <w:rPr>
          <w:rFonts w:ascii="Palatino Linotype" w:eastAsia="Palatino Linotype" w:hAnsi="Palatino Linotype" w:cs="Palatino Linotype"/>
          <w:b/>
        </w:rPr>
      </w:pPr>
      <w:r>
        <w:rPr>
          <w:rFonts w:ascii="Palatino Linotype" w:eastAsia="Palatino Linotype" w:hAnsi="Palatino Linotype" w:cs="Palatino Linotype"/>
          <w:b/>
        </w:rPr>
        <w:t>Effect of Volatility Risk Premium (VRP) on Option Mispricing</w:t>
      </w:r>
    </w:p>
    <w:p w14:paraId="023BFC43" w14:textId="77777777" w:rsidR="00485A85" w:rsidRDefault="00485A85">
      <w:pPr>
        <w:jc w:val="center"/>
        <w:rPr>
          <w:rFonts w:ascii="Palatino Linotype" w:eastAsia="Palatino Linotype" w:hAnsi="Palatino Linotype" w:cs="Palatino Linotype"/>
          <w:b/>
        </w:rPr>
      </w:pPr>
    </w:p>
    <w:p w14:paraId="023BFC44" w14:textId="77777777" w:rsidR="00485A85" w:rsidRDefault="00AE0D53">
      <w:pPr>
        <w:rPr>
          <w:rFonts w:ascii="Palatino Linotype" w:eastAsia="Palatino Linotype" w:hAnsi="Palatino Linotype" w:cs="Palatino Linotype"/>
        </w:rPr>
      </w:pPr>
      <w:r>
        <w:rPr>
          <w:rFonts w:ascii="Palatino Linotype" w:eastAsia="Palatino Linotype" w:hAnsi="Palatino Linotype" w:cs="Palatino Linotype"/>
          <w:b/>
        </w:rPr>
        <w:t>Main paper</w:t>
      </w:r>
      <w:r>
        <w:rPr>
          <w:rFonts w:ascii="Palatino Linotype" w:eastAsia="Palatino Linotype" w:hAnsi="Palatino Linotype" w:cs="Palatino Linotype"/>
        </w:rPr>
        <w:t xml:space="preserve">: </w:t>
      </w:r>
      <w:hyperlink r:id="rId4">
        <w:r>
          <w:rPr>
            <w:rFonts w:ascii="Palatino Linotype" w:eastAsia="Palatino Linotype" w:hAnsi="Palatino Linotype" w:cs="Palatino Linotype"/>
            <w:color w:val="1155CC"/>
            <w:u w:val="single"/>
          </w:rPr>
          <w:t>https://papers.ssrn.com/sol3/papers.cfm?abstract_id=889947</w:t>
        </w:r>
      </w:hyperlink>
    </w:p>
    <w:p w14:paraId="023BFC45" w14:textId="77777777" w:rsidR="00485A85" w:rsidRDefault="00485A85">
      <w:pPr>
        <w:rPr>
          <w:rFonts w:ascii="Palatino Linotype" w:eastAsia="Palatino Linotype" w:hAnsi="Palatino Linotype" w:cs="Palatino Linotype"/>
        </w:rPr>
      </w:pPr>
    </w:p>
    <w:p w14:paraId="023BFC46" w14:textId="77777777" w:rsidR="00485A85" w:rsidRDefault="00AE0D53">
      <w:pPr>
        <w:rPr>
          <w:rFonts w:ascii="Palatino Linotype" w:eastAsia="Palatino Linotype" w:hAnsi="Palatino Linotype" w:cs="Palatino Linotype"/>
        </w:rPr>
      </w:pPr>
      <w:r>
        <w:rPr>
          <w:rFonts w:ascii="Palatino Linotype" w:eastAsia="Palatino Linotype" w:hAnsi="Palatino Linotype" w:cs="Palatino Linotype"/>
          <w:b/>
        </w:rPr>
        <w:t>Methodology</w:t>
      </w:r>
      <w:r>
        <w:rPr>
          <w:rFonts w:ascii="Palatino Linotype" w:eastAsia="Palatino Linotype" w:hAnsi="Palatino Linotype" w:cs="Palatino Linotype"/>
        </w:rPr>
        <w:t xml:space="preserve">: portfolio sorting </w:t>
      </w:r>
    </w:p>
    <w:p w14:paraId="023BFC47" w14:textId="77777777" w:rsidR="00485A85" w:rsidRDefault="00485A85">
      <w:pPr>
        <w:rPr>
          <w:rFonts w:ascii="Palatino Linotype" w:eastAsia="Palatino Linotype" w:hAnsi="Palatino Linotype" w:cs="Palatino Linotype"/>
        </w:rPr>
      </w:pPr>
    </w:p>
    <w:p w14:paraId="023BFC48" w14:textId="77777777" w:rsidR="00485A85" w:rsidRDefault="00AE0D53">
      <w:pPr>
        <w:jc w:val="both"/>
        <w:rPr>
          <w:rFonts w:ascii="Palatino Linotype" w:eastAsia="Palatino Linotype" w:hAnsi="Palatino Linotype" w:cs="Palatino Linotype"/>
        </w:rPr>
      </w:pPr>
      <w:r>
        <w:rPr>
          <w:rFonts w:ascii="Palatino Linotype" w:eastAsia="Palatino Linotype" w:hAnsi="Palatino Linotype" w:cs="Palatino Linotype"/>
          <w:b/>
        </w:rPr>
        <w:t>Description</w:t>
      </w:r>
      <w:r>
        <w:rPr>
          <w:rFonts w:ascii="Palatino Linotype" w:eastAsia="Palatino Linotype" w:hAnsi="Palatino Linotype" w:cs="Palatino Linotype"/>
        </w:rPr>
        <w:t xml:space="preserve">: Option prices are functions of observables (such as underlying price, expiration, moneyness etc.) and </w:t>
      </w:r>
      <w:proofErr w:type="spellStart"/>
      <w:r>
        <w:rPr>
          <w:rFonts w:ascii="Palatino Linotype" w:eastAsia="Palatino Linotype" w:hAnsi="Palatino Linotype" w:cs="Palatino Linotype"/>
        </w:rPr>
        <w:t>unobservables</w:t>
      </w:r>
      <w:proofErr w:type="spellEnd"/>
      <w:r>
        <w:rPr>
          <w:rFonts w:ascii="Palatino Linotype" w:eastAsia="Palatino Linotype" w:hAnsi="Palatino Linotype" w:cs="Palatino Linotype"/>
        </w:rPr>
        <w:t xml:space="preserve"> (underlying volatility). Since all</w:t>
      </w:r>
      <w:r>
        <w:rPr>
          <w:rFonts w:ascii="Palatino Linotype" w:eastAsia="Palatino Linotype" w:hAnsi="Palatino Linotype" w:cs="Palatino Linotype"/>
        </w:rPr>
        <w:t xml:space="preserve"> option pricing models require at least an estimate of the parameters that characterize the probability distribution of future volatility, volatility </w:t>
      </w:r>
      <w:proofErr w:type="gramStart"/>
      <w:r>
        <w:rPr>
          <w:rFonts w:ascii="Palatino Linotype" w:eastAsia="Palatino Linotype" w:hAnsi="Palatino Linotype" w:cs="Palatino Linotype"/>
        </w:rPr>
        <w:t>mis-measurement</w:t>
      </w:r>
      <w:proofErr w:type="gramEnd"/>
      <w:r>
        <w:rPr>
          <w:rFonts w:ascii="Palatino Linotype" w:eastAsia="Palatino Linotype" w:hAnsi="Palatino Linotype" w:cs="Palatino Linotype"/>
        </w:rPr>
        <w:t xml:space="preserve"> is the most obvious source of options mispricing. We sort stocks based on the difference b</w:t>
      </w:r>
      <w:r>
        <w:rPr>
          <w:rFonts w:ascii="Palatino Linotype" w:eastAsia="Palatino Linotype" w:hAnsi="Palatino Linotype" w:cs="Palatino Linotype"/>
        </w:rPr>
        <w:t xml:space="preserve">etween RV and IV. The motivation for this sorting cri- </w:t>
      </w:r>
      <w:proofErr w:type="spellStart"/>
      <w:r>
        <w:rPr>
          <w:rFonts w:ascii="Palatino Linotype" w:eastAsia="Palatino Linotype" w:hAnsi="Palatino Linotype" w:cs="Palatino Linotype"/>
        </w:rPr>
        <w:t>terion</w:t>
      </w:r>
      <w:proofErr w:type="spellEnd"/>
      <w:r>
        <w:rPr>
          <w:rFonts w:ascii="Palatino Linotype" w:eastAsia="Palatino Linotype" w:hAnsi="Palatino Linotype" w:cs="Palatino Linotype"/>
        </w:rPr>
        <w:t xml:space="preserve"> is based on two empirical regularities. One, volatility is highly persistent (as reported earlier, the autocorrelation coefficient for individual realized stock volatility in our sample is close</w:t>
      </w:r>
      <w:r>
        <w:rPr>
          <w:rFonts w:ascii="Palatino Linotype" w:eastAsia="Palatino Linotype" w:hAnsi="Palatino Linotype" w:cs="Palatino Linotype"/>
        </w:rPr>
        <w:t xml:space="preserve"> to 0.95). Second, IV from an option is the markets estimate of future volatility of the underlying asset.8 Therefore, while there need not exist close correspondence be- tween RV and IV, large deviations between these two volatility estimates are indicati</w:t>
      </w:r>
      <w:r>
        <w:rPr>
          <w:rFonts w:ascii="Palatino Linotype" w:eastAsia="Palatino Linotype" w:hAnsi="Palatino Linotype" w:cs="Palatino Linotype"/>
        </w:rPr>
        <w:t xml:space="preserve">ve of volatility mispricing of options. For instance, stocks for which IV is much lower than RV are suspected to be </w:t>
      </w:r>
      <w:proofErr w:type="spellStart"/>
      <w:r>
        <w:rPr>
          <w:rFonts w:ascii="Palatino Linotype" w:eastAsia="Palatino Linotype" w:hAnsi="Palatino Linotype" w:cs="Palatino Linotype"/>
        </w:rPr>
        <w:t>underpriced</w:t>
      </w:r>
      <w:proofErr w:type="spellEnd"/>
      <w:r>
        <w:rPr>
          <w:rFonts w:ascii="Palatino Linotype" w:eastAsia="Palatino Linotype" w:hAnsi="Palatino Linotype" w:cs="Palatino Linotype"/>
        </w:rPr>
        <w:t xml:space="preserve">. We explore these conjectures in this section by forming option portfolios. </w:t>
      </w:r>
    </w:p>
    <w:p w14:paraId="023BFC49" w14:textId="77777777" w:rsidR="00485A85" w:rsidRDefault="00485A85">
      <w:pPr>
        <w:jc w:val="both"/>
        <w:rPr>
          <w:rFonts w:ascii="Palatino Linotype" w:eastAsia="Palatino Linotype" w:hAnsi="Palatino Linotype" w:cs="Palatino Linotype"/>
        </w:rPr>
      </w:pPr>
    </w:p>
    <w:p w14:paraId="023BFC4A" w14:textId="77777777" w:rsidR="00485A85" w:rsidRDefault="00AE0D53">
      <w:pPr>
        <w:jc w:val="both"/>
        <w:rPr>
          <w:rFonts w:ascii="Palatino Linotype" w:eastAsia="Palatino Linotype" w:hAnsi="Palatino Linotype" w:cs="Palatino Linotype"/>
          <w:b/>
        </w:rPr>
      </w:pPr>
      <w:r>
        <w:rPr>
          <w:rFonts w:ascii="Palatino Linotype" w:eastAsia="Palatino Linotype" w:hAnsi="Palatino Linotype" w:cs="Palatino Linotype"/>
          <w:b/>
        </w:rPr>
        <w:t>Very large deviations between these two volatility</w:t>
      </w:r>
      <w:r>
        <w:rPr>
          <w:rFonts w:ascii="Palatino Linotype" w:eastAsia="Palatino Linotype" w:hAnsi="Palatino Linotype" w:cs="Palatino Linotype"/>
          <w:b/>
        </w:rPr>
        <w:t xml:space="preserve"> estimates are a signal of volatility mispricing. </w:t>
      </w:r>
    </w:p>
    <w:p w14:paraId="023BFC4B" w14:textId="77777777" w:rsidR="00485A85" w:rsidRDefault="00AE0D53">
      <w:pPr>
        <w:jc w:val="both"/>
        <w:rPr>
          <w:rFonts w:ascii="Palatino Linotype" w:eastAsia="Palatino Linotype" w:hAnsi="Palatino Linotype" w:cs="Palatino Linotype"/>
        </w:rPr>
      </w:pPr>
      <w:r>
        <w:rPr>
          <w:rFonts w:ascii="Palatino Linotype" w:eastAsia="Palatino Linotype" w:hAnsi="Palatino Linotype" w:cs="Palatino Linotype"/>
        </w:rPr>
        <w:tab/>
      </w:r>
      <w:r>
        <w:rPr>
          <w:rFonts w:ascii="Palatino Linotype" w:eastAsia="Palatino Linotype" w:hAnsi="Palatino Linotype" w:cs="Palatino Linotype"/>
        </w:rPr>
        <w:tab/>
      </w:r>
      <w:r>
        <w:rPr>
          <w:rFonts w:ascii="Palatino Linotype" w:eastAsia="Palatino Linotype" w:hAnsi="Palatino Linotype" w:cs="Palatino Linotype"/>
        </w:rPr>
        <w:tab/>
      </w:r>
      <w:r>
        <w:rPr>
          <w:rFonts w:ascii="Palatino Linotype" w:eastAsia="Palatino Linotype" w:hAnsi="Palatino Linotype" w:cs="Palatino Linotype"/>
        </w:rPr>
        <w:tab/>
      </w:r>
    </w:p>
    <w:p w14:paraId="023BFC4C" w14:textId="77777777" w:rsidR="00485A85" w:rsidRDefault="00AE0D53">
      <w:pPr>
        <w:jc w:val="both"/>
        <w:rPr>
          <w:rFonts w:ascii="Palatino Linotype" w:eastAsia="Palatino Linotype" w:hAnsi="Palatino Linotype" w:cs="Palatino Linotype"/>
        </w:rPr>
      </w:pPr>
      <w:r>
        <w:rPr>
          <w:rFonts w:ascii="Palatino Linotype" w:eastAsia="Palatino Linotype" w:hAnsi="Palatino Linotype" w:cs="Palatino Linotype"/>
          <w:b/>
        </w:rPr>
        <w:t>To do</w:t>
      </w:r>
      <w:r>
        <w:rPr>
          <w:rFonts w:ascii="Palatino Linotype" w:eastAsia="Palatino Linotype" w:hAnsi="Palatino Linotype" w:cs="Palatino Linotype"/>
        </w:rPr>
        <w:t xml:space="preserve">: </w:t>
      </w:r>
    </w:p>
    <w:p w14:paraId="023BFC4D" w14:textId="77777777" w:rsidR="00485A85" w:rsidRDefault="00AE0D53">
      <w:pPr>
        <w:jc w:val="both"/>
        <w:rPr>
          <w:rFonts w:ascii="Palatino Linotype" w:eastAsia="Palatino Linotype" w:hAnsi="Palatino Linotype" w:cs="Palatino Linotype"/>
        </w:rPr>
      </w:pPr>
      <w:r>
        <w:rPr>
          <w:rFonts w:ascii="Palatino Linotype" w:eastAsia="Palatino Linotype" w:hAnsi="Palatino Linotype" w:cs="Palatino Linotype"/>
          <w:b/>
        </w:rPr>
        <w:t>1)</w:t>
      </w:r>
      <w:r>
        <w:rPr>
          <w:rFonts w:ascii="Palatino Linotype" w:eastAsia="Palatino Linotype" w:hAnsi="Palatino Linotype" w:cs="Palatino Linotype"/>
        </w:rPr>
        <w:t xml:space="preserve"> sort stocks into deciles based on the log difference between RV and IV. Decile ten con- sists of stocks with the highest (positive) difference while decile one consists of stocks with the l</w:t>
      </w:r>
      <w:r>
        <w:rPr>
          <w:rFonts w:ascii="Palatino Linotype" w:eastAsia="Palatino Linotype" w:hAnsi="Palatino Linotype" w:cs="Palatino Linotype"/>
        </w:rPr>
        <w:t xml:space="preserve">owest (negative) difference between these two volatility measures. </w:t>
      </w:r>
    </w:p>
    <w:p w14:paraId="023BFC4E" w14:textId="77777777" w:rsidR="00485A85" w:rsidRDefault="00485A85">
      <w:pPr>
        <w:jc w:val="both"/>
        <w:rPr>
          <w:rFonts w:ascii="Palatino Linotype" w:eastAsia="Palatino Linotype" w:hAnsi="Palatino Linotype" w:cs="Palatino Linotype"/>
        </w:rPr>
      </w:pPr>
    </w:p>
    <w:p w14:paraId="023BFC4F" w14:textId="77777777" w:rsidR="00485A85" w:rsidRDefault="00AE0D53">
      <w:pPr>
        <w:jc w:val="both"/>
        <w:rPr>
          <w:rFonts w:ascii="Palatino Linotype" w:eastAsia="Palatino Linotype" w:hAnsi="Palatino Linotype" w:cs="Palatino Linotype"/>
        </w:rPr>
      </w:pPr>
      <w:r>
        <w:rPr>
          <w:rFonts w:ascii="Palatino Linotype" w:eastAsia="Palatino Linotype" w:hAnsi="Palatino Linotype" w:cs="Palatino Linotype"/>
        </w:rPr>
        <w:t xml:space="preserve">Sort stocks into deciles based on the log difference between their </w:t>
      </w:r>
      <w:proofErr w:type="gramStart"/>
      <w:r>
        <w:rPr>
          <w:rFonts w:ascii="Palatino Linotype" w:eastAsia="Palatino Linotype" w:hAnsi="Palatino Linotype" w:cs="Palatino Linotype"/>
        </w:rPr>
        <w:t>one year</w:t>
      </w:r>
      <w:proofErr w:type="gramEnd"/>
      <w:r>
        <w:rPr>
          <w:rFonts w:ascii="Palatino Linotype" w:eastAsia="Palatino Linotype" w:hAnsi="Palatino Linotype" w:cs="Palatino Linotype"/>
        </w:rPr>
        <w:t xml:space="preserve"> historical RV and their at-the-money IV. RV is calculated using the standard deviation of realized daily stock </w:t>
      </w:r>
      <w:r>
        <w:rPr>
          <w:rFonts w:ascii="Palatino Linotype" w:eastAsia="Palatino Linotype" w:hAnsi="Palatino Linotype" w:cs="Palatino Linotype"/>
        </w:rPr>
        <w:t xml:space="preserve">returns over the most recent twelve months. For each stock, we obtain the IV estimate from one month to maturity, at-the-money (ATM) options. In order to partially limit measurement </w:t>
      </w:r>
      <w:proofErr w:type="gramStart"/>
      <w:r>
        <w:rPr>
          <w:rFonts w:ascii="Palatino Linotype" w:eastAsia="Palatino Linotype" w:hAnsi="Palatino Linotype" w:cs="Palatino Linotype"/>
        </w:rPr>
        <w:t>errors</w:t>
      </w:r>
      <w:proofErr w:type="gramEnd"/>
      <w:r>
        <w:rPr>
          <w:rFonts w:ascii="Palatino Linotype" w:eastAsia="Palatino Linotype" w:hAnsi="Palatino Linotype" w:cs="Palatino Linotype"/>
        </w:rPr>
        <w:t xml:space="preserve"> we compute the stock’s IV by taking the average of the ATM call and</w:t>
      </w:r>
      <w:r>
        <w:rPr>
          <w:rFonts w:ascii="Palatino Linotype" w:eastAsia="Palatino Linotype" w:hAnsi="Palatino Linotype" w:cs="Palatino Linotype"/>
        </w:rPr>
        <w:t xml:space="preserve"> put implied-volatilities. This also ensures that we construct a homogenous sample with respect to the options’ contract characteristics across stocks, and that we consider the most liquid options contracts for each stock. We form portfolios of options for</w:t>
      </w:r>
      <w:r>
        <w:rPr>
          <w:rFonts w:ascii="Palatino Linotype" w:eastAsia="Palatino Linotype" w:hAnsi="Palatino Linotype" w:cs="Palatino Linotype"/>
        </w:rPr>
        <w:t xml:space="preserve"> each of these deciles. </w:t>
      </w:r>
    </w:p>
    <w:p w14:paraId="023BFC50" w14:textId="77777777" w:rsidR="00485A85" w:rsidRDefault="00485A85">
      <w:pPr>
        <w:jc w:val="both"/>
        <w:rPr>
          <w:rFonts w:ascii="Palatino Linotype" w:eastAsia="Palatino Linotype" w:hAnsi="Palatino Linotype" w:cs="Palatino Linotype"/>
        </w:rPr>
      </w:pPr>
    </w:p>
    <w:p w14:paraId="023BFC51" w14:textId="77777777" w:rsidR="00485A85" w:rsidRDefault="00AE0D53">
      <w:pPr>
        <w:jc w:val="both"/>
        <w:rPr>
          <w:rFonts w:ascii="Palatino Linotype" w:eastAsia="Palatino Linotype" w:hAnsi="Palatino Linotype" w:cs="Palatino Linotype"/>
        </w:rPr>
      </w:pPr>
      <w:r>
        <w:rPr>
          <w:rFonts w:ascii="Palatino Linotype" w:eastAsia="Palatino Linotype" w:hAnsi="Palatino Linotype" w:cs="Palatino Linotype"/>
          <w:b/>
        </w:rPr>
        <w:t xml:space="preserve">2) </w:t>
      </w:r>
      <w:r>
        <w:rPr>
          <w:rFonts w:ascii="Palatino Linotype" w:eastAsia="Palatino Linotype" w:hAnsi="Palatino Linotype" w:cs="Palatino Linotype"/>
        </w:rPr>
        <w:t xml:space="preserve">Calculate </w:t>
      </w:r>
      <w:proofErr w:type="spellStart"/>
      <w:r>
        <w:rPr>
          <w:rFonts w:ascii="Palatino Linotype" w:eastAsia="Palatino Linotype" w:hAnsi="Palatino Linotype" w:cs="Palatino Linotype"/>
        </w:rPr>
        <w:t>greeks</w:t>
      </w:r>
      <w:proofErr w:type="spellEnd"/>
      <w:r>
        <w:rPr>
          <w:rFonts w:ascii="Palatino Linotype" w:eastAsia="Palatino Linotype" w:hAnsi="Palatino Linotype" w:cs="Palatino Linotype"/>
        </w:rPr>
        <w:t xml:space="preserve"> for the </w:t>
      </w:r>
      <w:proofErr w:type="gramStart"/>
      <w:r>
        <w:rPr>
          <w:rFonts w:ascii="Palatino Linotype" w:eastAsia="Palatino Linotype" w:hAnsi="Palatino Linotype" w:cs="Palatino Linotype"/>
        </w:rPr>
        <w:t>options  (</w:t>
      </w:r>
      <w:proofErr w:type="gramEnd"/>
      <w:r>
        <w:rPr>
          <w:rFonts w:ascii="Palatino Linotype" w:eastAsia="Palatino Linotype" w:hAnsi="Palatino Linotype" w:cs="Palatino Linotype"/>
        </w:rPr>
        <w:t>or get them via Option Metrics)</w:t>
      </w:r>
    </w:p>
    <w:p w14:paraId="023BFC52" w14:textId="77777777" w:rsidR="00485A85" w:rsidRDefault="00485A85">
      <w:pPr>
        <w:jc w:val="both"/>
        <w:rPr>
          <w:rFonts w:ascii="Palatino Linotype" w:eastAsia="Palatino Linotype" w:hAnsi="Palatino Linotype" w:cs="Palatino Linotype"/>
        </w:rPr>
      </w:pPr>
    </w:p>
    <w:p w14:paraId="023BFC53" w14:textId="77777777" w:rsidR="00485A85" w:rsidRDefault="00AE0D53">
      <w:pPr>
        <w:jc w:val="both"/>
        <w:rPr>
          <w:rFonts w:ascii="Palatino Linotype" w:eastAsia="Palatino Linotype" w:hAnsi="Palatino Linotype" w:cs="Palatino Linotype"/>
          <w:sz w:val="24"/>
          <w:szCs w:val="24"/>
        </w:rPr>
      </w:pPr>
      <w:r>
        <w:rPr>
          <w:rFonts w:ascii="Palatino Linotype" w:eastAsia="Palatino Linotype" w:hAnsi="Palatino Linotype" w:cs="Palatino Linotype"/>
          <w:b/>
        </w:rPr>
        <w:t>3)</w:t>
      </w:r>
      <w:r>
        <w:rPr>
          <w:rFonts w:ascii="Palatino Linotype" w:eastAsia="Palatino Linotype" w:hAnsi="Palatino Linotype" w:cs="Palatino Linotype"/>
        </w:rPr>
        <w:t xml:space="preserve"> construct time series of call, put, straddle, and delta-hedged call/put returns for each stock in the sample. </w:t>
      </w:r>
      <w:r>
        <w:rPr>
          <w:rFonts w:ascii="Palatino Linotype" w:eastAsia="Palatino Linotype" w:hAnsi="Palatino Linotype" w:cs="Palatino Linotype"/>
          <w:sz w:val="24"/>
          <w:szCs w:val="24"/>
        </w:rPr>
        <w:t xml:space="preserve">Do not include stale quotes in our analysis </w:t>
      </w:r>
      <w:proofErr w:type="gramStart"/>
      <w:r>
        <w:rPr>
          <w:rFonts w:ascii="Palatino Linotype" w:eastAsia="Palatino Linotype" w:hAnsi="Palatino Linotype" w:cs="Palatino Linotype"/>
          <w:sz w:val="24"/>
          <w:szCs w:val="24"/>
        </w:rPr>
        <w:t xml:space="preserve">( </w:t>
      </w:r>
      <w:r>
        <w:rPr>
          <w:rFonts w:ascii="Palatino Linotype" w:eastAsia="Palatino Linotype" w:hAnsi="Palatino Linotype" w:cs="Palatino Linotype"/>
          <w:sz w:val="24"/>
          <w:szCs w:val="24"/>
        </w:rPr>
        <w:t>eliminate</w:t>
      </w:r>
      <w:proofErr w:type="gramEnd"/>
      <w:r>
        <w:rPr>
          <w:rFonts w:ascii="Palatino Linotype" w:eastAsia="Palatino Linotype" w:hAnsi="Palatino Linotype" w:cs="Palatino Linotype"/>
          <w:sz w:val="24"/>
          <w:szCs w:val="24"/>
        </w:rPr>
        <w:t xml:space="preserve"> from the sample </w:t>
      </w:r>
      <w:r>
        <w:rPr>
          <w:rFonts w:ascii="Palatino Linotype" w:eastAsia="Palatino Linotype" w:hAnsi="Palatino Linotype" w:cs="Palatino Linotype"/>
          <w:sz w:val="24"/>
          <w:szCs w:val="24"/>
        </w:rPr>
        <w:lastRenderedPageBreak/>
        <w:t xml:space="preserve">all the observations for which both the bid and the ask are equal to the previous day quotes). </w:t>
      </w:r>
    </w:p>
    <w:p w14:paraId="023BFC54" w14:textId="77777777" w:rsidR="00485A85" w:rsidRDefault="00485A85">
      <w:pPr>
        <w:jc w:val="both"/>
        <w:rPr>
          <w:rFonts w:ascii="Palatino Linotype" w:eastAsia="Palatino Linotype" w:hAnsi="Palatino Linotype" w:cs="Palatino Linotype"/>
          <w:sz w:val="24"/>
          <w:szCs w:val="24"/>
        </w:rPr>
      </w:pPr>
    </w:p>
    <w:p w14:paraId="023BFC55" w14:textId="77777777" w:rsidR="00485A85" w:rsidRDefault="00AE0D53">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 xml:space="preserve">Skip a day after the day that we obtain the signal (difference between RV and IV) for sorting stocks. </w:t>
      </w:r>
    </w:p>
    <w:p w14:paraId="023BFC56" w14:textId="77777777" w:rsidR="00485A85" w:rsidRDefault="00485A85">
      <w:pPr>
        <w:jc w:val="both"/>
        <w:rPr>
          <w:rFonts w:ascii="Palatino Linotype" w:eastAsia="Palatino Linotype" w:hAnsi="Palatino Linotype" w:cs="Palatino Linotype"/>
          <w:sz w:val="24"/>
          <w:szCs w:val="24"/>
        </w:rPr>
      </w:pPr>
    </w:p>
    <w:p w14:paraId="023BFC57" w14:textId="77777777" w:rsidR="00485A85" w:rsidRDefault="00AE0D53">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The returns are constructed u</w:t>
      </w:r>
      <w:r>
        <w:rPr>
          <w:rFonts w:ascii="Palatino Linotype" w:eastAsia="Palatino Linotype" w:hAnsi="Palatino Linotype" w:cs="Palatino Linotype"/>
          <w:sz w:val="24"/>
          <w:szCs w:val="24"/>
        </w:rPr>
        <w:t xml:space="preserve">sing, as a reference beginning price, the average of the closing bid and ask quotes and, as the closing price, the terminal payoff of the option depending on the stock price at expiration and the strike price of the option </w:t>
      </w:r>
    </w:p>
    <w:p w14:paraId="023BFC58" w14:textId="77777777" w:rsidR="00485A85" w:rsidRDefault="00485A85">
      <w:pPr>
        <w:jc w:val="both"/>
        <w:rPr>
          <w:rFonts w:ascii="Palatino Linotype" w:eastAsia="Palatino Linotype" w:hAnsi="Palatino Linotype" w:cs="Palatino Linotype"/>
          <w:sz w:val="24"/>
          <w:szCs w:val="24"/>
        </w:rPr>
      </w:pPr>
    </w:p>
    <w:p w14:paraId="023BFC59" w14:textId="77777777" w:rsidR="00485A85" w:rsidRDefault="00AE0D53">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After expiration the next month</w:t>
      </w:r>
      <w:r>
        <w:rPr>
          <w:rFonts w:ascii="Palatino Linotype" w:eastAsia="Palatino Linotype" w:hAnsi="Palatino Linotype" w:cs="Palatino Linotype"/>
          <w:sz w:val="24"/>
          <w:szCs w:val="24"/>
        </w:rPr>
        <w:t xml:space="preserve">, a new option with the same characteristics is selected and a new monthly return is calculated. Prices and returns for the underlying stock are taken from the CRSP database. </w:t>
      </w:r>
    </w:p>
    <w:p w14:paraId="023BFC5A" w14:textId="77777777" w:rsidR="00485A85" w:rsidRDefault="00485A85">
      <w:pPr>
        <w:jc w:val="both"/>
        <w:rPr>
          <w:rFonts w:ascii="Palatino Linotype" w:eastAsia="Palatino Linotype" w:hAnsi="Palatino Linotype" w:cs="Palatino Linotype"/>
          <w:sz w:val="24"/>
          <w:szCs w:val="24"/>
        </w:rPr>
      </w:pPr>
    </w:p>
    <w:p w14:paraId="023BFC5B" w14:textId="77777777" w:rsidR="00485A85" w:rsidRDefault="00AE0D53">
      <w:pPr>
        <w:jc w:val="both"/>
        <w:rPr>
          <w:rFonts w:ascii="Palatino Linotype" w:eastAsia="Palatino Linotype" w:hAnsi="Palatino Linotype" w:cs="Palatino Linotype"/>
          <w:sz w:val="24"/>
          <w:szCs w:val="24"/>
        </w:rPr>
      </w:pPr>
      <w:proofErr w:type="gramStart"/>
      <w:r>
        <w:rPr>
          <w:rFonts w:ascii="Palatino Linotype" w:eastAsia="Palatino Linotype" w:hAnsi="Palatino Linotype" w:cs="Palatino Linotype"/>
          <w:sz w:val="24"/>
          <w:szCs w:val="24"/>
        </w:rPr>
        <w:t>Equally-weighted</w:t>
      </w:r>
      <w:proofErr w:type="gramEnd"/>
      <w:r>
        <w:rPr>
          <w:rFonts w:ascii="Palatino Linotype" w:eastAsia="Palatino Linotype" w:hAnsi="Palatino Linotype" w:cs="Palatino Linotype"/>
          <w:sz w:val="24"/>
          <w:szCs w:val="24"/>
        </w:rPr>
        <w:t xml:space="preserve"> monthly returns on calls, puts, and underlying stocks of each </w:t>
      </w:r>
      <w:r>
        <w:rPr>
          <w:rFonts w:ascii="Palatino Linotype" w:eastAsia="Palatino Linotype" w:hAnsi="Palatino Linotype" w:cs="Palatino Linotype"/>
          <w:sz w:val="24"/>
          <w:szCs w:val="24"/>
        </w:rPr>
        <w:t xml:space="preserve">portfolio are computed and the procedure is then repeated for every month in the sample. </w:t>
      </w:r>
    </w:p>
    <w:p w14:paraId="023BFC5C" w14:textId="77777777" w:rsidR="00485A85" w:rsidRDefault="00485A85">
      <w:pPr>
        <w:jc w:val="both"/>
        <w:rPr>
          <w:rFonts w:ascii="Palatino Linotype" w:eastAsia="Palatino Linotype" w:hAnsi="Palatino Linotype" w:cs="Palatino Linotype"/>
          <w:sz w:val="24"/>
          <w:szCs w:val="24"/>
        </w:rPr>
      </w:pPr>
    </w:p>
    <w:p w14:paraId="023BFC5D" w14:textId="77777777" w:rsidR="00485A85" w:rsidRDefault="00AE0D53">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The straddle portfolios are formed as a combination of one call and one put. For delta-hedged portfolios, we use the delta (based on the current IV) provided to us b</w:t>
      </w:r>
      <w:r>
        <w:rPr>
          <w:rFonts w:ascii="Palatino Linotype" w:eastAsia="Palatino Linotype" w:hAnsi="Palatino Linotype" w:cs="Palatino Linotype"/>
          <w:sz w:val="24"/>
          <w:szCs w:val="24"/>
        </w:rPr>
        <w:t>y Option Metrics</w:t>
      </w:r>
    </w:p>
    <w:p w14:paraId="023BFC5E" w14:textId="77777777" w:rsidR="00485A85" w:rsidRDefault="00485A85">
      <w:pPr>
        <w:jc w:val="both"/>
        <w:rPr>
          <w:rFonts w:ascii="Palatino Linotype" w:eastAsia="Palatino Linotype" w:hAnsi="Palatino Linotype" w:cs="Palatino Linotype"/>
          <w:sz w:val="24"/>
          <w:szCs w:val="24"/>
        </w:rPr>
      </w:pPr>
    </w:p>
    <w:p w14:paraId="023BFC5F" w14:textId="77777777" w:rsidR="00485A85" w:rsidRDefault="00AE0D53">
      <w:pPr>
        <w:jc w:val="both"/>
        <w:rPr>
          <w:rFonts w:ascii="Palatino Linotype" w:eastAsia="Palatino Linotype" w:hAnsi="Palatino Linotype" w:cs="Palatino Linotype"/>
          <w:sz w:val="24"/>
          <w:szCs w:val="24"/>
        </w:rPr>
      </w:pPr>
      <w:r>
        <w:rPr>
          <w:rFonts w:ascii="Palatino Linotype" w:eastAsia="Palatino Linotype" w:hAnsi="Palatino Linotype" w:cs="Palatino Linotype"/>
          <w:b/>
          <w:sz w:val="24"/>
          <w:szCs w:val="24"/>
        </w:rPr>
        <w:t>4)</w:t>
      </w:r>
      <w:r>
        <w:rPr>
          <w:rFonts w:ascii="Palatino Linotype" w:eastAsia="Palatino Linotype" w:hAnsi="Palatino Linotype" w:cs="Palatino Linotype"/>
          <w:sz w:val="24"/>
          <w:szCs w:val="24"/>
        </w:rPr>
        <w:t xml:space="preserve"> reports the returns on options portfolios, like this: </w:t>
      </w:r>
    </w:p>
    <w:p w14:paraId="023BFC60" w14:textId="77777777" w:rsidR="00485A85" w:rsidRDefault="00AE0D53">
      <w:pPr>
        <w:jc w:val="center"/>
        <w:rPr>
          <w:rFonts w:ascii="Palatino Linotype" w:eastAsia="Palatino Linotype" w:hAnsi="Palatino Linotype" w:cs="Palatino Linotype"/>
          <w:sz w:val="24"/>
          <w:szCs w:val="24"/>
        </w:rPr>
      </w:pPr>
      <w:r>
        <w:rPr>
          <w:rFonts w:ascii="Palatino Linotype" w:eastAsia="Palatino Linotype" w:hAnsi="Palatino Linotype" w:cs="Palatino Linotype"/>
          <w:noProof/>
          <w:sz w:val="24"/>
          <w:szCs w:val="24"/>
        </w:rPr>
        <w:lastRenderedPageBreak/>
        <w:drawing>
          <wp:inline distT="114300" distB="114300" distL="114300" distR="114300" wp14:anchorId="023BFC89" wp14:editId="4808ABF9">
            <wp:extent cx="6682740" cy="4396740"/>
            <wp:effectExtent l="0" t="0" r="3810" b="381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r="1825"/>
                    <a:stretch>
                      <a:fillRect/>
                    </a:stretch>
                  </pic:blipFill>
                  <pic:spPr>
                    <a:xfrm>
                      <a:off x="0" y="0"/>
                      <a:ext cx="6682740" cy="4396740"/>
                    </a:xfrm>
                    <a:prstGeom prst="rect">
                      <a:avLst/>
                    </a:prstGeom>
                    <a:ln/>
                  </pic:spPr>
                </pic:pic>
              </a:graphicData>
            </a:graphic>
          </wp:inline>
        </w:drawing>
      </w:r>
    </w:p>
    <w:p w14:paraId="023BFC61" w14:textId="77777777" w:rsidR="00485A85" w:rsidRDefault="00AE0D53">
      <w:pPr>
        <w:rPr>
          <w:rFonts w:ascii="Palatino Linotype" w:eastAsia="Palatino Linotype" w:hAnsi="Palatino Linotype" w:cs="Palatino Linotype"/>
          <w:b/>
          <w:sz w:val="24"/>
          <w:szCs w:val="24"/>
        </w:rPr>
      </w:pPr>
      <w:r>
        <w:rPr>
          <w:rFonts w:ascii="Palatino Linotype" w:eastAsia="Palatino Linotype" w:hAnsi="Palatino Linotype" w:cs="Palatino Linotype"/>
          <w:b/>
          <w:sz w:val="24"/>
          <w:szCs w:val="24"/>
        </w:rPr>
        <w:t xml:space="preserve">FROM HERE, FOCUS THE NEXT SECTIONS ONLY ON THE STRATEGY WHOSE RETURNS ARE MOST CLEARLY LINKED TO THE SOURCE OF PROFITABILITY </w:t>
      </w:r>
    </w:p>
    <w:p w14:paraId="023BFC62" w14:textId="77777777" w:rsidR="00485A85" w:rsidRDefault="00485A85">
      <w:pPr>
        <w:jc w:val="both"/>
        <w:rPr>
          <w:rFonts w:ascii="Palatino Linotype" w:eastAsia="Palatino Linotype" w:hAnsi="Palatino Linotype" w:cs="Palatino Linotype"/>
          <w:sz w:val="24"/>
          <w:szCs w:val="24"/>
        </w:rPr>
      </w:pPr>
    </w:p>
    <w:p w14:paraId="023BFC63" w14:textId="77777777" w:rsidR="00485A85" w:rsidRDefault="00AE0D53">
      <w:pPr>
        <w:jc w:val="both"/>
        <w:rPr>
          <w:rFonts w:ascii="Palatino Linotype" w:eastAsia="Palatino Linotype" w:hAnsi="Palatino Linotype" w:cs="Palatino Linotype"/>
        </w:rPr>
      </w:pPr>
      <w:r>
        <w:rPr>
          <w:rFonts w:ascii="Palatino Linotype" w:eastAsia="Palatino Linotype" w:hAnsi="Palatino Linotype" w:cs="Palatino Linotype"/>
          <w:b/>
        </w:rPr>
        <w:t xml:space="preserve">5) </w:t>
      </w:r>
      <w:r>
        <w:rPr>
          <w:rFonts w:ascii="Palatino Linotype" w:eastAsia="Palatino Linotype" w:hAnsi="Palatino Linotype" w:cs="Palatino Linotype"/>
        </w:rPr>
        <w:t xml:space="preserve">Create portfolios sorted based only on the level of implied </w:t>
      </w:r>
      <w:proofErr w:type="gramStart"/>
      <w:r>
        <w:rPr>
          <w:rFonts w:ascii="Palatino Linotype" w:eastAsia="Palatino Linotype" w:hAnsi="Palatino Linotype" w:cs="Palatino Linotype"/>
        </w:rPr>
        <w:t>volatility, and</w:t>
      </w:r>
      <w:proofErr w:type="gramEnd"/>
      <w:r>
        <w:rPr>
          <w:rFonts w:ascii="Palatino Linotype" w:eastAsia="Palatino Linotype" w:hAnsi="Palatino Linotype" w:cs="Palatino Linotype"/>
        </w:rPr>
        <w:t xml:space="preserve"> compare results with previous ones. </w:t>
      </w:r>
    </w:p>
    <w:p w14:paraId="023BFC64" w14:textId="77777777" w:rsidR="00485A85" w:rsidRDefault="00485A85">
      <w:pPr>
        <w:jc w:val="both"/>
        <w:rPr>
          <w:rFonts w:ascii="Palatino Linotype" w:eastAsia="Palatino Linotype" w:hAnsi="Palatino Linotype" w:cs="Palatino Linotype"/>
          <w:b/>
        </w:rPr>
      </w:pPr>
    </w:p>
    <w:p w14:paraId="023BFC65" w14:textId="77777777" w:rsidR="00485A85" w:rsidRDefault="00AE0D53">
      <w:pPr>
        <w:jc w:val="both"/>
        <w:rPr>
          <w:rFonts w:ascii="Palatino Linotype" w:eastAsia="Palatino Linotype" w:hAnsi="Palatino Linotype" w:cs="Palatino Linotype"/>
        </w:rPr>
      </w:pPr>
      <w:r>
        <w:rPr>
          <w:rFonts w:ascii="Palatino Linotype" w:eastAsia="Palatino Linotype" w:hAnsi="Palatino Linotype" w:cs="Palatino Linotype"/>
          <w:b/>
        </w:rPr>
        <w:t xml:space="preserve">6) </w:t>
      </w:r>
      <w:r>
        <w:rPr>
          <w:rFonts w:ascii="Palatino Linotype" w:eastAsia="Palatino Linotype" w:hAnsi="Palatino Linotype" w:cs="Palatino Linotype"/>
        </w:rPr>
        <w:t>We procee</w:t>
      </w:r>
      <w:r>
        <w:rPr>
          <w:rFonts w:ascii="Palatino Linotype" w:eastAsia="Palatino Linotype" w:hAnsi="Palatino Linotype" w:cs="Palatino Linotype"/>
        </w:rPr>
        <w:t xml:space="preserve">d by examining whether the profitability of the </w:t>
      </w:r>
      <w:proofErr w:type="gramStart"/>
      <w:r>
        <w:rPr>
          <w:rFonts w:ascii="Palatino Linotype" w:eastAsia="Palatino Linotype" w:hAnsi="Palatino Linotype" w:cs="Palatino Linotype"/>
        </w:rPr>
        <w:t>straddles</w:t>
      </w:r>
      <w:proofErr w:type="gramEnd"/>
      <w:r>
        <w:rPr>
          <w:rFonts w:ascii="Palatino Linotype" w:eastAsia="Palatino Linotype" w:hAnsi="Palatino Linotype" w:cs="Palatino Linotype"/>
        </w:rPr>
        <w:t xml:space="preserve"> portfolio is related to aggregate risk. We regress the long-short straddles portfolio return on various specifications of a linear pricing model composed by the </w:t>
      </w:r>
      <w:proofErr w:type="spellStart"/>
      <w:r>
        <w:rPr>
          <w:rFonts w:ascii="Palatino Linotype" w:eastAsia="Palatino Linotype" w:hAnsi="Palatino Linotype" w:cs="Palatino Linotype"/>
        </w:rPr>
        <w:t>Fama</w:t>
      </w:r>
      <w:proofErr w:type="spellEnd"/>
      <w:r>
        <w:rPr>
          <w:rFonts w:ascii="Palatino Linotype" w:eastAsia="Palatino Linotype" w:hAnsi="Palatino Linotype" w:cs="Palatino Linotype"/>
        </w:rPr>
        <w:t xml:space="preserve"> and French (1993) three factors,</w:t>
      </w:r>
      <w:r>
        <w:rPr>
          <w:rFonts w:ascii="Palatino Linotype" w:eastAsia="Palatino Linotype" w:hAnsi="Palatino Linotype" w:cs="Palatino Linotype"/>
        </w:rPr>
        <w:t xml:space="preserve"> the Carhart (1997) momentum factor, and the </w:t>
      </w:r>
      <w:proofErr w:type="spellStart"/>
      <w:r>
        <w:rPr>
          <w:rFonts w:ascii="Palatino Linotype" w:eastAsia="Palatino Linotype" w:hAnsi="Palatino Linotype" w:cs="Palatino Linotype"/>
        </w:rPr>
        <w:t>Coval</w:t>
      </w:r>
      <w:proofErr w:type="spellEnd"/>
      <w:r>
        <w:rPr>
          <w:rFonts w:ascii="Palatino Linotype" w:eastAsia="Palatino Linotype" w:hAnsi="Palatino Linotype" w:cs="Palatino Linotype"/>
        </w:rPr>
        <w:t xml:space="preserve"> and Shumway (2001) aggregate volatility factor represented by the excess return on a zero-beta S&amp;P 500 index ATM straddle. Since all the factors are spread traded portfolios, the intercept from these regre</w:t>
      </w:r>
      <w:r>
        <w:rPr>
          <w:rFonts w:ascii="Palatino Linotype" w:eastAsia="Palatino Linotype" w:hAnsi="Palatino Linotype" w:cs="Palatino Linotype"/>
        </w:rPr>
        <w:t xml:space="preserve">ssions can be interpreted as an alpha. However, option payoffs are non-linearly related to payoffs of stocks. Therefore, a linear factor model is unlikely to characterize the cross-section of option returns. We use a linear model merely to illustrate that </w:t>
      </w:r>
      <w:r>
        <w:rPr>
          <w:rFonts w:ascii="Palatino Linotype" w:eastAsia="Palatino Linotype" w:hAnsi="Palatino Linotype" w:cs="Palatino Linotype"/>
        </w:rPr>
        <w:t xml:space="preserve">the option returns described in this paper are not related to aggregate sources of risk in an obvious way. </w:t>
      </w:r>
    </w:p>
    <w:p w14:paraId="023BFC66" w14:textId="77777777" w:rsidR="00485A85" w:rsidRDefault="00485A85">
      <w:pPr>
        <w:jc w:val="both"/>
        <w:rPr>
          <w:rFonts w:ascii="Palatino Linotype" w:eastAsia="Palatino Linotype" w:hAnsi="Palatino Linotype" w:cs="Palatino Linotype"/>
        </w:rPr>
      </w:pPr>
    </w:p>
    <w:p w14:paraId="023BFC67" w14:textId="77777777" w:rsidR="00485A85" w:rsidRDefault="00AE0D53">
      <w:pPr>
        <w:jc w:val="both"/>
        <w:rPr>
          <w:rFonts w:ascii="Palatino Linotype" w:eastAsia="Palatino Linotype" w:hAnsi="Palatino Linotype" w:cs="Palatino Linotype"/>
        </w:rPr>
      </w:pPr>
      <w:r>
        <w:rPr>
          <w:rFonts w:ascii="Palatino Linotype" w:eastAsia="Palatino Linotype" w:hAnsi="Palatino Linotype" w:cs="Palatino Linotype"/>
          <w:b/>
        </w:rPr>
        <w:t>7)</w:t>
      </w:r>
      <w:r>
        <w:rPr>
          <w:rFonts w:ascii="Palatino Linotype" w:eastAsia="Palatino Linotype" w:hAnsi="Palatino Linotype" w:cs="Palatino Linotype"/>
        </w:rPr>
        <w:t xml:space="preserve"> There is a large body of literature that documents that transaction costs in the options market are quite large and are in part responsible for </w:t>
      </w:r>
      <w:r>
        <w:rPr>
          <w:rFonts w:ascii="Palatino Linotype" w:eastAsia="Palatino Linotype" w:hAnsi="Palatino Linotype" w:cs="Palatino Linotype"/>
        </w:rPr>
        <w:t xml:space="preserve">some pricing anomalies, such as </w:t>
      </w:r>
      <w:r>
        <w:rPr>
          <w:rFonts w:ascii="Palatino Linotype" w:eastAsia="Palatino Linotype" w:hAnsi="Palatino Linotype" w:cs="Palatino Linotype"/>
        </w:rPr>
        <w:lastRenderedPageBreak/>
        <w:t>violations of the put-call parity relation.1Itisessentialtounderstandtowhatdegreethese frictions prevent an investor from exploiting the profits on portfolio strategies studied in this paper. Therefore, in this section we di</w:t>
      </w:r>
      <w:r>
        <w:rPr>
          <w:rFonts w:ascii="Palatino Linotype" w:eastAsia="Palatino Linotype" w:hAnsi="Palatino Linotype" w:cs="Palatino Linotype"/>
        </w:rPr>
        <w:t xml:space="preserve">scuss the impact of transaction costs, measured by the bid-ask spread and margin requirements, on the feasibility of the long-short strategy. </w:t>
      </w:r>
    </w:p>
    <w:p w14:paraId="023BFC68" w14:textId="77777777" w:rsidR="00485A85" w:rsidRDefault="00485A85">
      <w:pPr>
        <w:jc w:val="both"/>
        <w:rPr>
          <w:rFonts w:ascii="Palatino Linotype" w:eastAsia="Palatino Linotype" w:hAnsi="Palatino Linotype" w:cs="Palatino Linotype"/>
        </w:rPr>
      </w:pPr>
    </w:p>
    <w:p w14:paraId="023BFC69" w14:textId="77777777" w:rsidR="00485A85" w:rsidRDefault="00AE0D53">
      <w:pPr>
        <w:jc w:val="both"/>
        <w:rPr>
          <w:rFonts w:ascii="Palatino Linotype" w:eastAsia="Palatino Linotype" w:hAnsi="Palatino Linotype" w:cs="Palatino Linotype"/>
        </w:rPr>
      </w:pPr>
      <w:r>
        <w:rPr>
          <w:rFonts w:ascii="Palatino Linotype" w:eastAsia="Palatino Linotype" w:hAnsi="Palatino Linotype" w:cs="Palatino Linotype"/>
        </w:rPr>
        <w:t>We consider the costs associated with executing the trades at prices inside the bid-ask spread</w:t>
      </w:r>
    </w:p>
    <w:p w14:paraId="023BFC6A" w14:textId="77777777" w:rsidR="00485A85" w:rsidRDefault="00AE0D53">
      <w:pPr>
        <w:jc w:val="both"/>
        <w:rPr>
          <w:rFonts w:ascii="Palatino Linotype" w:eastAsia="Palatino Linotype" w:hAnsi="Palatino Linotype" w:cs="Palatino Linotype"/>
        </w:rPr>
      </w:pPr>
      <w:r>
        <w:rPr>
          <w:rFonts w:ascii="Palatino Linotype" w:eastAsia="Palatino Linotype" w:hAnsi="Palatino Linotype" w:cs="Palatino Linotype"/>
        </w:rPr>
        <w:t>Since transaction</w:t>
      </w:r>
      <w:r>
        <w:rPr>
          <w:rFonts w:ascii="Palatino Linotype" w:eastAsia="Palatino Linotype" w:hAnsi="Palatino Linotype" w:cs="Palatino Linotype"/>
        </w:rPr>
        <w:t>s data is not available to us, we consider three effective spread measures equal to 50%, 75%, and 100% of the quoted spread. In other words, we buy (or sell) the option at prices inside the spread. This is done only at the initiation of the portfolio since</w:t>
      </w:r>
      <w:r>
        <w:rPr>
          <w:rFonts w:ascii="Palatino Linotype" w:eastAsia="Palatino Linotype" w:hAnsi="Palatino Linotype" w:cs="Palatino Linotype"/>
        </w:rPr>
        <w:t xml:space="preserve"> we terminate the portfolio at the expiration of the option. </w:t>
      </w:r>
    </w:p>
    <w:p w14:paraId="023BFC6B" w14:textId="77777777" w:rsidR="00485A85" w:rsidRDefault="00485A85">
      <w:pPr>
        <w:jc w:val="both"/>
        <w:rPr>
          <w:rFonts w:ascii="Palatino Linotype" w:eastAsia="Palatino Linotype" w:hAnsi="Palatino Linotype" w:cs="Palatino Linotype"/>
        </w:rPr>
      </w:pPr>
    </w:p>
    <w:p w14:paraId="023BFC6C" w14:textId="77777777" w:rsidR="00485A85" w:rsidRDefault="00AE0D53">
      <w:pPr>
        <w:jc w:val="both"/>
        <w:rPr>
          <w:rFonts w:ascii="Palatino Linotype" w:eastAsia="Palatino Linotype" w:hAnsi="Palatino Linotype" w:cs="Palatino Linotype"/>
        </w:rPr>
      </w:pPr>
      <w:r>
        <w:rPr>
          <w:rFonts w:ascii="Palatino Linotype" w:eastAsia="Palatino Linotype" w:hAnsi="Palatino Linotype" w:cs="Palatino Linotype"/>
        </w:rPr>
        <w:t xml:space="preserve">In addition, to address the concern that the results might be driven by options that are thinly traded, we repeat the analysis by splitting the sample into different liquidity groups. For each </w:t>
      </w:r>
      <w:r>
        <w:rPr>
          <w:rFonts w:ascii="Palatino Linotype" w:eastAsia="Palatino Linotype" w:hAnsi="Palatino Linotype" w:cs="Palatino Linotype"/>
        </w:rPr>
        <w:t>stock we compute the average quoted bid-ask spread and the daily average dollar volume in the previous month of all the option contracts traded on that stock. We then sort stocks based on these characteristics and calculate average returns and t-statistics</w:t>
      </w:r>
      <w:r>
        <w:rPr>
          <w:rFonts w:ascii="Palatino Linotype" w:eastAsia="Palatino Linotype" w:hAnsi="Palatino Linotype" w:cs="Palatino Linotype"/>
        </w:rPr>
        <w:t xml:space="preserve"> for the long-short straddles portfolios for these groups of stocks </w:t>
      </w:r>
    </w:p>
    <w:p w14:paraId="023BFC6D" w14:textId="77777777" w:rsidR="00485A85" w:rsidRDefault="00485A85">
      <w:pPr>
        <w:jc w:val="both"/>
        <w:rPr>
          <w:rFonts w:ascii="Palatino Linotype" w:eastAsia="Palatino Linotype" w:hAnsi="Palatino Linotype" w:cs="Palatino Linotype"/>
        </w:rPr>
      </w:pPr>
    </w:p>
    <w:p w14:paraId="023BFC6E" w14:textId="77777777" w:rsidR="00485A85" w:rsidRDefault="00AE0D53">
      <w:pPr>
        <w:jc w:val="both"/>
        <w:rPr>
          <w:rFonts w:ascii="Palatino Linotype" w:eastAsia="Palatino Linotype" w:hAnsi="Palatino Linotype" w:cs="Palatino Linotype"/>
        </w:rPr>
      </w:pPr>
      <w:r>
        <w:rPr>
          <w:rFonts w:ascii="Palatino Linotype" w:eastAsia="Palatino Linotype" w:hAnsi="Palatino Linotype" w:cs="Palatino Linotype"/>
          <w:b/>
        </w:rPr>
        <w:t>Conclusion</w:t>
      </w:r>
      <w:r>
        <w:rPr>
          <w:rFonts w:ascii="Palatino Linotype" w:eastAsia="Palatino Linotype" w:hAnsi="Palatino Linotype" w:cs="Palatino Linotype"/>
        </w:rPr>
        <w:t xml:space="preserve">: One should, thus, view our portfolios sorts as sorts on option prices with decile one (ten) representing over-(under-)priced options </w:t>
      </w:r>
    </w:p>
    <w:p w14:paraId="023BFC6F" w14:textId="77777777" w:rsidR="00485A85" w:rsidRDefault="00485A85">
      <w:pPr>
        <w:jc w:val="both"/>
        <w:rPr>
          <w:rFonts w:ascii="Palatino Linotype" w:eastAsia="Palatino Linotype" w:hAnsi="Palatino Linotype" w:cs="Palatino Linotype"/>
        </w:rPr>
      </w:pPr>
    </w:p>
    <w:p w14:paraId="023BFC70" w14:textId="77777777" w:rsidR="00485A85" w:rsidRDefault="00AE0D53">
      <w:pPr>
        <w:jc w:val="both"/>
        <w:rPr>
          <w:rFonts w:ascii="Palatino Linotype" w:eastAsia="Palatino Linotype" w:hAnsi="Palatino Linotype" w:cs="Palatino Linotype"/>
        </w:rPr>
      </w:pPr>
      <w:r>
        <w:rPr>
          <w:rFonts w:ascii="Palatino Linotype" w:eastAsia="Palatino Linotype" w:hAnsi="Palatino Linotype" w:cs="Palatino Linotype"/>
        </w:rPr>
        <w:t>One possibility is that volatility misp</w:t>
      </w:r>
      <w:r>
        <w:rPr>
          <w:rFonts w:ascii="Palatino Linotype" w:eastAsia="Palatino Linotype" w:hAnsi="Palatino Linotype" w:cs="Palatino Linotype"/>
        </w:rPr>
        <w:t xml:space="preserve">ricing stems from the fact that economic agents do not use all the available information in forming expectations about future stock volatilities. </w:t>
      </w:r>
      <w:proofErr w:type="gramStart"/>
      <w:r>
        <w:rPr>
          <w:rFonts w:ascii="Palatino Linotype" w:eastAsia="Palatino Linotype" w:hAnsi="Palatino Linotype" w:cs="Palatino Linotype"/>
        </w:rPr>
        <w:t>In particular, they</w:t>
      </w:r>
      <w:proofErr w:type="gramEnd"/>
      <w:r>
        <w:rPr>
          <w:rFonts w:ascii="Palatino Linotype" w:eastAsia="Palatino Linotype" w:hAnsi="Palatino Linotype" w:cs="Palatino Linotype"/>
        </w:rPr>
        <w:t xml:space="preserve"> ignore the information contained in the cross-sectional distribution of implied volatiliti</w:t>
      </w:r>
      <w:r>
        <w:rPr>
          <w:rFonts w:ascii="Palatino Linotype" w:eastAsia="Palatino Linotype" w:hAnsi="Palatino Linotype" w:cs="Palatino Linotype"/>
        </w:rPr>
        <w:t xml:space="preserve">es and consider assets individually when forecasting volatility. </w:t>
      </w:r>
    </w:p>
    <w:p w14:paraId="023BFC71" w14:textId="77777777" w:rsidR="00485A85" w:rsidRDefault="00485A85">
      <w:pPr>
        <w:jc w:val="both"/>
        <w:rPr>
          <w:rFonts w:ascii="Palatino Linotype" w:eastAsia="Palatino Linotype" w:hAnsi="Palatino Linotype" w:cs="Palatino Linotype"/>
        </w:rPr>
      </w:pPr>
    </w:p>
    <w:p w14:paraId="023BFC72" w14:textId="77777777" w:rsidR="00485A85" w:rsidRDefault="00AE0D53">
      <w:pPr>
        <w:jc w:val="both"/>
        <w:rPr>
          <w:rFonts w:ascii="Palatino Linotype" w:eastAsia="Palatino Linotype" w:hAnsi="Palatino Linotype" w:cs="Palatino Linotype"/>
        </w:rPr>
      </w:pPr>
      <w:r>
        <w:rPr>
          <w:rFonts w:ascii="Palatino Linotype" w:eastAsia="Palatino Linotype" w:hAnsi="Palatino Linotype" w:cs="Palatino Linotype"/>
        </w:rPr>
        <w:t xml:space="preserve">The information contained in historical realized volatility and implied volatility (based on readily available data) allows one to construct profitable trading strategies </w:t>
      </w:r>
    </w:p>
    <w:p w14:paraId="023BFC73" w14:textId="77777777" w:rsidR="00485A85" w:rsidRDefault="00485A85">
      <w:pPr>
        <w:jc w:val="both"/>
        <w:rPr>
          <w:rFonts w:ascii="Palatino Linotype" w:eastAsia="Palatino Linotype" w:hAnsi="Palatino Linotype" w:cs="Palatino Linotype"/>
        </w:rPr>
      </w:pPr>
    </w:p>
    <w:p w14:paraId="023BFC74" w14:textId="77777777" w:rsidR="00485A85" w:rsidRDefault="00AE0D53">
      <w:pPr>
        <w:jc w:val="both"/>
        <w:rPr>
          <w:rFonts w:ascii="Palatino Linotype" w:eastAsia="Palatino Linotype" w:hAnsi="Palatino Linotype" w:cs="Palatino Linotype"/>
        </w:rPr>
      </w:pPr>
      <w:r>
        <w:rPr>
          <w:rFonts w:ascii="Palatino Linotype" w:eastAsia="Palatino Linotype" w:hAnsi="Palatino Linotype" w:cs="Palatino Linotype"/>
          <w:b/>
        </w:rPr>
        <w:t>Advice:</w:t>
      </w:r>
      <w:r>
        <w:rPr>
          <w:rFonts w:ascii="Palatino Linotype" w:eastAsia="Palatino Linotype" w:hAnsi="Palatino Linotype" w:cs="Palatino Linotype"/>
        </w:rPr>
        <w:t xml:space="preserve"> use the </w:t>
      </w:r>
      <w:r>
        <w:rPr>
          <w:rFonts w:ascii="Palatino Linotype" w:eastAsia="Palatino Linotype" w:hAnsi="Palatino Linotype" w:cs="Palatino Linotype"/>
        </w:rPr>
        <w:t xml:space="preserve">2021 dataset from Option Metrics, as it provides both historical volatility and implied volatility, and bid-ask spreads </w:t>
      </w:r>
      <w:r>
        <w:rPr>
          <w:rFonts w:ascii="Palatino Linotype" w:eastAsia="Palatino Linotype" w:hAnsi="Palatino Linotype" w:cs="Palatino Linotype"/>
        </w:rPr>
        <w:tab/>
      </w:r>
      <w:r>
        <w:rPr>
          <w:rFonts w:ascii="Palatino Linotype" w:eastAsia="Palatino Linotype" w:hAnsi="Palatino Linotype" w:cs="Palatino Linotype"/>
        </w:rPr>
        <w:tab/>
      </w:r>
      <w:r>
        <w:rPr>
          <w:rFonts w:ascii="Palatino Linotype" w:eastAsia="Palatino Linotype" w:hAnsi="Palatino Linotype" w:cs="Palatino Linotype"/>
        </w:rPr>
        <w:tab/>
      </w:r>
      <w:r>
        <w:rPr>
          <w:rFonts w:ascii="Palatino Linotype" w:eastAsia="Palatino Linotype" w:hAnsi="Palatino Linotype" w:cs="Palatino Linotype"/>
        </w:rPr>
        <w:tab/>
      </w:r>
    </w:p>
    <w:p w14:paraId="023BFC75" w14:textId="77777777" w:rsidR="00485A85" w:rsidRDefault="00AE0D53">
      <w:pPr>
        <w:jc w:val="both"/>
        <w:rPr>
          <w:rFonts w:ascii="Palatino Linotype" w:eastAsia="Palatino Linotype" w:hAnsi="Palatino Linotype" w:cs="Palatino Linotype"/>
        </w:rPr>
      </w:pPr>
      <w:r>
        <w:rPr>
          <w:rFonts w:ascii="Palatino Linotype" w:eastAsia="Palatino Linotype" w:hAnsi="Palatino Linotype" w:cs="Palatino Linotype"/>
        </w:rPr>
        <w:tab/>
      </w:r>
      <w:r>
        <w:rPr>
          <w:rFonts w:ascii="Palatino Linotype" w:eastAsia="Palatino Linotype" w:hAnsi="Palatino Linotype" w:cs="Palatino Linotype"/>
        </w:rPr>
        <w:tab/>
      </w:r>
      <w:r>
        <w:rPr>
          <w:rFonts w:ascii="Palatino Linotype" w:eastAsia="Palatino Linotype" w:hAnsi="Palatino Linotype" w:cs="Palatino Linotype"/>
        </w:rPr>
        <w:tab/>
      </w:r>
    </w:p>
    <w:p w14:paraId="023BFC76" w14:textId="77777777" w:rsidR="00485A85" w:rsidRDefault="00485A85">
      <w:pPr>
        <w:jc w:val="both"/>
        <w:rPr>
          <w:rFonts w:ascii="Palatino Linotype" w:eastAsia="Palatino Linotype" w:hAnsi="Palatino Linotype" w:cs="Palatino Linotype"/>
        </w:rPr>
      </w:pPr>
    </w:p>
    <w:p w14:paraId="023BFC77" w14:textId="77777777" w:rsidR="00485A85" w:rsidRDefault="00485A85">
      <w:pPr>
        <w:jc w:val="both"/>
        <w:rPr>
          <w:rFonts w:ascii="Palatino Linotype" w:eastAsia="Palatino Linotype" w:hAnsi="Palatino Linotype" w:cs="Palatino Linotype"/>
        </w:rPr>
      </w:pPr>
    </w:p>
    <w:p w14:paraId="023BFC78" w14:textId="77777777" w:rsidR="00485A85" w:rsidRDefault="00485A85">
      <w:pPr>
        <w:jc w:val="both"/>
        <w:rPr>
          <w:rFonts w:ascii="Palatino Linotype" w:eastAsia="Palatino Linotype" w:hAnsi="Palatino Linotype" w:cs="Palatino Linotype"/>
        </w:rPr>
      </w:pPr>
    </w:p>
    <w:p w14:paraId="023BFC79" w14:textId="77777777" w:rsidR="00485A85" w:rsidRDefault="00485A85">
      <w:pPr>
        <w:jc w:val="both"/>
        <w:rPr>
          <w:rFonts w:ascii="Palatino Linotype" w:eastAsia="Palatino Linotype" w:hAnsi="Palatino Linotype" w:cs="Palatino Linotype"/>
        </w:rPr>
      </w:pPr>
    </w:p>
    <w:p w14:paraId="023BFC7A" w14:textId="77777777" w:rsidR="00485A85" w:rsidRDefault="00485A85">
      <w:pPr>
        <w:jc w:val="both"/>
        <w:rPr>
          <w:rFonts w:ascii="Palatino Linotype" w:eastAsia="Palatino Linotype" w:hAnsi="Palatino Linotype" w:cs="Palatino Linotype"/>
        </w:rPr>
      </w:pPr>
    </w:p>
    <w:p w14:paraId="023BFC7B" w14:textId="77777777" w:rsidR="00485A85" w:rsidRDefault="00485A85">
      <w:pPr>
        <w:jc w:val="both"/>
        <w:rPr>
          <w:rFonts w:ascii="Palatino Linotype" w:eastAsia="Palatino Linotype" w:hAnsi="Palatino Linotype" w:cs="Palatino Linotype"/>
        </w:rPr>
      </w:pPr>
    </w:p>
    <w:p w14:paraId="023BFC7C" w14:textId="77777777" w:rsidR="00485A85" w:rsidRDefault="00485A85">
      <w:pPr>
        <w:jc w:val="both"/>
        <w:rPr>
          <w:rFonts w:ascii="Palatino Linotype" w:eastAsia="Palatino Linotype" w:hAnsi="Palatino Linotype" w:cs="Palatino Linotype"/>
        </w:rPr>
      </w:pPr>
    </w:p>
    <w:p w14:paraId="023BFC7D" w14:textId="77777777" w:rsidR="00485A85" w:rsidRDefault="00485A85">
      <w:pPr>
        <w:jc w:val="both"/>
        <w:rPr>
          <w:rFonts w:ascii="Palatino Linotype" w:eastAsia="Palatino Linotype" w:hAnsi="Palatino Linotype" w:cs="Palatino Linotype"/>
        </w:rPr>
      </w:pPr>
    </w:p>
    <w:p w14:paraId="023BFC7E" w14:textId="77777777" w:rsidR="00485A85" w:rsidRDefault="00485A85">
      <w:pPr>
        <w:jc w:val="both"/>
        <w:rPr>
          <w:rFonts w:ascii="Palatino Linotype" w:eastAsia="Palatino Linotype" w:hAnsi="Palatino Linotype" w:cs="Palatino Linotype"/>
        </w:rPr>
      </w:pPr>
    </w:p>
    <w:p w14:paraId="023BFC7F" w14:textId="77777777" w:rsidR="00485A85" w:rsidRDefault="00AE0D53">
      <w:pPr>
        <w:jc w:val="both"/>
        <w:rPr>
          <w:rFonts w:ascii="Palatino Linotype" w:eastAsia="Palatino Linotype" w:hAnsi="Palatino Linotype" w:cs="Palatino Linotype"/>
        </w:rPr>
      </w:pPr>
      <w:r>
        <w:rPr>
          <w:rFonts w:ascii="Palatino Linotype" w:eastAsia="Palatino Linotype" w:hAnsi="Palatino Linotype" w:cs="Palatino Linotype"/>
        </w:rPr>
        <w:lastRenderedPageBreak/>
        <w:tab/>
      </w:r>
      <w:r>
        <w:rPr>
          <w:rFonts w:ascii="Palatino Linotype" w:eastAsia="Palatino Linotype" w:hAnsi="Palatino Linotype" w:cs="Palatino Linotype"/>
        </w:rPr>
        <w:tab/>
      </w:r>
      <w:r>
        <w:rPr>
          <w:rFonts w:ascii="Palatino Linotype" w:eastAsia="Palatino Linotype" w:hAnsi="Palatino Linotype" w:cs="Palatino Linotype"/>
        </w:rPr>
        <w:tab/>
      </w:r>
      <w:r>
        <w:rPr>
          <w:rFonts w:ascii="Palatino Linotype" w:eastAsia="Palatino Linotype" w:hAnsi="Palatino Linotype" w:cs="Palatino Linotype"/>
        </w:rPr>
        <w:tab/>
      </w:r>
    </w:p>
    <w:p w14:paraId="023BFC80" w14:textId="77777777" w:rsidR="00485A85" w:rsidRDefault="00485A85">
      <w:pPr>
        <w:jc w:val="both"/>
        <w:rPr>
          <w:rFonts w:ascii="Palatino Linotype" w:eastAsia="Palatino Linotype" w:hAnsi="Palatino Linotype" w:cs="Palatino Linotype"/>
        </w:rPr>
      </w:pPr>
    </w:p>
    <w:p w14:paraId="023BFC81" w14:textId="77777777" w:rsidR="00485A85" w:rsidRDefault="00485A85">
      <w:pPr>
        <w:jc w:val="both"/>
        <w:rPr>
          <w:rFonts w:ascii="Palatino Linotype" w:eastAsia="Palatino Linotype" w:hAnsi="Palatino Linotype" w:cs="Palatino Linotype"/>
        </w:rPr>
      </w:pPr>
    </w:p>
    <w:p w14:paraId="023BFC82" w14:textId="77777777" w:rsidR="00485A85" w:rsidRDefault="00AE0D53">
      <w:pPr>
        <w:jc w:val="both"/>
        <w:rPr>
          <w:rFonts w:ascii="Palatino Linotype" w:eastAsia="Palatino Linotype" w:hAnsi="Palatino Linotype" w:cs="Palatino Linotype"/>
        </w:rPr>
      </w:pPr>
      <w:r>
        <w:rPr>
          <w:rFonts w:ascii="Palatino Linotype" w:eastAsia="Palatino Linotype" w:hAnsi="Palatino Linotype" w:cs="Palatino Linotype"/>
        </w:rPr>
        <w:tab/>
      </w:r>
      <w:r>
        <w:rPr>
          <w:rFonts w:ascii="Palatino Linotype" w:eastAsia="Palatino Linotype" w:hAnsi="Palatino Linotype" w:cs="Palatino Linotype"/>
        </w:rPr>
        <w:tab/>
      </w:r>
      <w:r>
        <w:rPr>
          <w:rFonts w:ascii="Palatino Linotype" w:eastAsia="Palatino Linotype" w:hAnsi="Palatino Linotype" w:cs="Palatino Linotype"/>
        </w:rPr>
        <w:tab/>
      </w:r>
    </w:p>
    <w:p w14:paraId="023BFC83" w14:textId="77777777" w:rsidR="00485A85" w:rsidRDefault="00AE0D53">
      <w:pPr>
        <w:jc w:val="both"/>
        <w:rPr>
          <w:rFonts w:ascii="Palatino Linotype" w:eastAsia="Palatino Linotype" w:hAnsi="Palatino Linotype" w:cs="Palatino Linotype"/>
        </w:rPr>
      </w:pPr>
      <w:r>
        <w:rPr>
          <w:rFonts w:ascii="Palatino Linotype" w:eastAsia="Palatino Linotype" w:hAnsi="Palatino Linotype" w:cs="Palatino Linotype"/>
        </w:rPr>
        <w:tab/>
      </w:r>
      <w:r>
        <w:rPr>
          <w:rFonts w:ascii="Palatino Linotype" w:eastAsia="Palatino Linotype" w:hAnsi="Palatino Linotype" w:cs="Palatino Linotype"/>
        </w:rPr>
        <w:tab/>
      </w:r>
    </w:p>
    <w:p w14:paraId="023BFC84" w14:textId="77777777" w:rsidR="00485A85" w:rsidRDefault="00485A85">
      <w:pPr>
        <w:jc w:val="both"/>
        <w:rPr>
          <w:rFonts w:ascii="Palatino Linotype" w:eastAsia="Palatino Linotype" w:hAnsi="Palatino Linotype" w:cs="Palatino Linotype"/>
        </w:rPr>
      </w:pPr>
    </w:p>
    <w:p w14:paraId="023BFC85" w14:textId="77777777" w:rsidR="00485A85" w:rsidRDefault="00AE0D53">
      <w:pPr>
        <w:rPr>
          <w:rFonts w:ascii="Palatino Linotype" w:eastAsia="Palatino Linotype" w:hAnsi="Palatino Linotype" w:cs="Palatino Linotype"/>
        </w:rPr>
      </w:pPr>
      <w:r>
        <w:rPr>
          <w:rFonts w:ascii="Palatino Linotype" w:eastAsia="Palatino Linotype" w:hAnsi="Palatino Linotype" w:cs="Palatino Linotype"/>
        </w:rPr>
        <w:tab/>
      </w:r>
      <w:r>
        <w:rPr>
          <w:rFonts w:ascii="Palatino Linotype" w:eastAsia="Palatino Linotype" w:hAnsi="Palatino Linotype" w:cs="Palatino Linotype"/>
        </w:rPr>
        <w:tab/>
      </w:r>
      <w:r>
        <w:rPr>
          <w:rFonts w:ascii="Palatino Linotype" w:eastAsia="Palatino Linotype" w:hAnsi="Palatino Linotype" w:cs="Palatino Linotype"/>
        </w:rPr>
        <w:tab/>
      </w:r>
      <w:r>
        <w:rPr>
          <w:rFonts w:ascii="Palatino Linotype" w:eastAsia="Palatino Linotype" w:hAnsi="Palatino Linotype" w:cs="Palatino Linotype"/>
        </w:rPr>
        <w:tab/>
      </w:r>
    </w:p>
    <w:p w14:paraId="023BFC86" w14:textId="77777777" w:rsidR="00485A85" w:rsidRDefault="00AE0D53">
      <w:pPr>
        <w:rPr>
          <w:rFonts w:ascii="Palatino Linotype" w:eastAsia="Palatino Linotype" w:hAnsi="Palatino Linotype" w:cs="Palatino Linotype"/>
        </w:rPr>
      </w:pPr>
      <w:r>
        <w:rPr>
          <w:rFonts w:ascii="Palatino Linotype" w:eastAsia="Palatino Linotype" w:hAnsi="Palatino Linotype" w:cs="Palatino Linotype"/>
        </w:rPr>
        <w:tab/>
      </w:r>
      <w:r>
        <w:rPr>
          <w:rFonts w:ascii="Palatino Linotype" w:eastAsia="Palatino Linotype" w:hAnsi="Palatino Linotype" w:cs="Palatino Linotype"/>
        </w:rPr>
        <w:tab/>
      </w:r>
      <w:r>
        <w:rPr>
          <w:rFonts w:ascii="Palatino Linotype" w:eastAsia="Palatino Linotype" w:hAnsi="Palatino Linotype" w:cs="Palatino Linotype"/>
        </w:rPr>
        <w:tab/>
      </w:r>
    </w:p>
    <w:p w14:paraId="023BFC87" w14:textId="77777777" w:rsidR="00485A85" w:rsidRDefault="00AE0D53">
      <w:pPr>
        <w:rPr>
          <w:rFonts w:ascii="Palatino Linotype" w:eastAsia="Palatino Linotype" w:hAnsi="Palatino Linotype" w:cs="Palatino Linotype"/>
        </w:rPr>
      </w:pPr>
      <w:r>
        <w:rPr>
          <w:rFonts w:ascii="Palatino Linotype" w:eastAsia="Palatino Linotype" w:hAnsi="Palatino Linotype" w:cs="Palatino Linotype"/>
        </w:rPr>
        <w:tab/>
      </w:r>
      <w:r>
        <w:rPr>
          <w:rFonts w:ascii="Palatino Linotype" w:eastAsia="Palatino Linotype" w:hAnsi="Palatino Linotype" w:cs="Palatino Linotype"/>
        </w:rPr>
        <w:tab/>
      </w:r>
    </w:p>
    <w:p w14:paraId="023BFC88" w14:textId="77777777" w:rsidR="00485A85" w:rsidRDefault="00485A85">
      <w:pPr>
        <w:rPr>
          <w:rFonts w:ascii="Palatino Linotype" w:eastAsia="Palatino Linotype" w:hAnsi="Palatino Linotype" w:cs="Palatino Linotype"/>
        </w:rPr>
      </w:pPr>
    </w:p>
    <w:sectPr w:rsidR="00485A8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A85"/>
    <w:rsid w:val="00485A85"/>
    <w:rsid w:val="00AE0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BFC42"/>
  <w15:docId w15:val="{40172F21-E828-4BAD-B035-26FF8D129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hyperlink" Target="https://papers.ssrn.com/sol3/papers.cfm?abstract_id=8899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Pages>
  <Words>1090</Words>
  <Characters>6218</Characters>
  <Application>Microsoft Office Word</Application>
  <DocSecurity>0</DocSecurity>
  <Lines>51</Lines>
  <Paragraphs>14</Paragraphs>
  <ScaleCrop>false</ScaleCrop>
  <Company/>
  <LinksUpToDate>false</LinksUpToDate>
  <CharactersWithSpaces>7294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Antonis Mavritsakis</cp:lastModifiedBy>
  <cp:revision>2</cp:revision>
  <dcterms:created xsi:type="dcterms:W3CDTF">2022-06-07T18:58:00Z</dcterms:created>
  <dcterms:modified xsi:type="dcterms:W3CDTF">2022-06-07T19:01:00Z</dcterms:modified>
</cp:coreProperties>
</file>