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spacing w:after="80" w:line="240" w:lineRule="auto"/>
      </w:pPr>
      <w:r>
        <w:rPr>
          <w:sz w:val="30"/>
        </w:rPr>
        <w:t xml:space="preserve">Second Project Report</w:t>
      </w:r>
    </w:p>
    <w:p>
      <w:pPr>
        <w:spacing w:after="60" w:line="240" w:lineRule="auto"/>
      </w:pPr>
      <w:r>
        <w:rPr>
          <w:b/>
          <w:sz w:val="20"/>
        </w:rPr>
        <w:t xml:space="preserve">Which Model When: A Controlled Comparison of Regression, Diffusion and Flow Matching for Vehicle Trajectory Prediction</w:t>
      </w:r>
    </w:p>
    <w:p>
      <w:pPr>
        <w:spacing w:after="60" w:line="240" w:lineRule="auto"/>
      </w:pPr>
      <w:r>
        <w:rPr>
          <w:sz w:val="20"/>
        </w:rPr>
        <w:t xml:space="preserve">Members: Member A, Member B, Member C, Member D · Code: https://github.com/</w:t>
      </w:r>
      <w:r>
        <w:rPr>
          <w:rFonts w:ascii="Consolas" w:hAnsi="Consolas"/>
          <w:sz w:val="20"/>
        </w:rPr>
        <w:t xml:space="preserve">&lt;username&gt;</w:t>
      </w:r>
      <w:r>
        <w:rPr>
          <w:sz w:val="20"/>
        </w:rPr>
        <w:t xml:space="preserve">/</w:t>
      </w:r>
      <w:r>
        <w:rPr>
          <w:rFonts w:ascii="Consolas" w:hAnsi="Consolas"/>
          <w:sz w:val="20"/>
        </w:rPr>
        <w:t xml:space="preserve">&lt;repo&gt;</w:t>
      </w:r>
    </w:p>
    <w:p>
      <w:pPr>
        <w:pStyle w:val="Heading1"/>
        <w:spacing w:after="50" w:line="240" w:lineRule="auto"/>
      </w:pPr>
      <w:r>
        <w:rPr>
          <w:sz w:val="23"/>
        </w:rPr>
        <w:t xml:space="preserve">1. Data</w:t>
      </w:r>
    </w:p>
    <w:p>
      <w:pPr>
        <w:spacing w:after="60" w:line="240" w:lineRule="auto"/>
      </w:pPr>
      <w:r>
        <w:rPr>
          <w:sz w:val="20"/>
        </w:rPr>
        <w:t xml:space="preserve">nuPlan </w:t>
      </w:r>
      <w:r>
        <w:rPr>
          <w:rFonts w:ascii="Consolas" w:hAnsi="Consolas"/>
          <w:sz w:val="20"/>
        </w:rPr>
        <w:t xml:space="preserve">mini</w:t>
      </w:r>
      <w:r>
        <w:rPr>
          <w:sz w:val="20"/>
        </w:rPr>
        <w:t xml:space="preserve"> v1.1 — 64 driving logs from four cities (Las Vegas, Singapore, Boston, Pittsburgh). Task: agent-centric prediction of the next 8 s (80 points at 10 Hz) from 2 s of target history, expressed in the target's frame at t₀. Each sample stores </w:t>
      </w:r>
      <w:r>
        <w:rPr>
          <w:rFonts w:ascii="Consolas" w:hAnsi="Consolas"/>
          <w:sz w:val="20"/>
        </w:rPr>
        <w:t xml:space="preserve">hist</w:t>
      </w:r>
      <w:r>
        <w:rPr>
          <w:sz w:val="20"/>
        </w:rPr>
        <w:t xml:space="preserve"> (20×4: x, y, vx, vy), </w:t>
      </w:r>
      <w:r>
        <w:rPr>
          <w:rFonts w:ascii="Consolas" w:hAnsi="Consolas"/>
          <w:sz w:val="20"/>
        </w:rPr>
        <w:t xml:space="preserve">neigh</w:t>
      </w:r>
      <w:r>
        <w:rPr>
          <w:sz w:val="20"/>
        </w:rPr>
        <w:t xml:space="preserve"> (10×20×6 for up to ten nearby agents), </w:t>
      </w:r>
      <w:r>
        <w:rPr>
          <w:rFonts w:ascii="Consolas" w:hAnsi="Consolas"/>
          <w:sz w:val="20"/>
        </w:rPr>
        <w:t xml:space="preserve">neigh_mask</w:t>
      </w:r>
      <w:r>
        <w:rPr>
          <w:sz w:val="20"/>
        </w:rPr>
        <w:t xml:space="preserve">, </w:t>
      </w:r>
      <w:r>
        <w:rPr>
          <w:rFonts w:ascii="Consolas" w:hAnsi="Consolas"/>
          <w:sz w:val="20"/>
        </w:rPr>
        <w:t xml:space="preserve">future</w:t>
      </w:r>
      <w:r>
        <w:rPr>
          <w:sz w:val="20"/>
        </w:rPr>
        <w:t xml:space="preserve"> (80×2) and 67 multi-hot </w:t>
      </w:r>
      <w:r>
        <w:rPr>
          <w:rFonts w:ascii="Consolas" w:hAnsi="Consolas"/>
          <w:sz w:val="20"/>
        </w:rPr>
        <w:t xml:space="preserve">scenario_tag</w:t>
      </w:r>
      <w:r>
        <w:rPr>
          <w:sz w:val="20"/>
        </w:rPr>
        <w:t xml:space="preserve">s. After filtering near-stationary windows: </w:t>
      </w:r>
      <w:r>
        <w:rPr>
          <w:b/>
          <w:sz w:val="20"/>
        </w:rPr>
        <w:t xml:space="preserve">297,875 samples</w:t>
      </w:r>
      <w:r>
        <w:rPr>
          <w:sz w:val="20"/>
        </w:rPr>
        <w:t xml:space="preserve">, split </w:t>
      </w:r>
      <w:r>
        <w:rPr>
          <w:b/>
          <w:sz w:val="20"/>
        </w:rPr>
        <w:t xml:space="preserve">by log and stratified by city</w:t>
      </w:r>
      <w:r>
        <w:rPr>
          <w:sz w:val="20"/>
        </w:rPr>
        <w:t xml:space="preserve"> into 175,522 train / 61,327 selector-labelling / 61,026 held-out test. A four-stage pipeline builds memory-mapped caches and per-element normalisation, and an automated checker verifies shapes, split disjointness and city coverage.</w:t>
      </w:r>
    </w:p>
    <w:p>
      <w:pPr>
        <w:pStyle w:val="Heading1"/>
        <w:spacing w:after="50" w:line="240" w:lineRule="auto"/>
      </w:pPr>
      <w:r>
        <w:rPr>
          <w:sz w:val="23"/>
        </w:rPr>
        <w:t xml:space="preserve">2. Models</w:t>
      </w:r>
    </w:p>
    <w:p>
      <w:pPr>
        <w:spacing w:after="60" w:line="240" w:lineRule="auto"/>
      </w:pPr>
      <w:r>
        <w:rPr>
          <w:sz w:val="20"/>
        </w:rPr>
        <w:t xml:space="preserve">Three paradigms share one encoder (1.23 M) and one DiT decoder (2.47 M) — </w:t>
      </w:r>
      <w:r>
        <w:rPr>
          <w:b/>
          <w:sz w:val="20"/>
        </w:rPr>
        <w:t xml:space="preserve">identical 3,694,754 parameters per arm</w:t>
      </w:r>
      <w:r>
        <w:rPr>
          <w:sz w:val="20"/>
        </w:rPr>
        <w:t xml:space="preserve">, so the comparison isolates the generative mechanism: (A) deterministic regression, 1 forward; (B) diffusion, VP-SDE, 15-step sampler, 90 NFE; (C) flow matching on a linear path, 4-step sampler, 24 NFE (K = 6). All three predict x₀ rather than ε/v, are constrained to a 48-dimensional </w:t>
      </w:r>
      <w:r>
        <w:rPr>
          <w:b/>
          <w:sz w:val="20"/>
        </w:rPr>
        <w:t xml:space="preserve">velocity-space DCT subspace</w:t>
      </w:r>
      <w:r>
        <w:rPr>
          <w:sz w:val="20"/>
        </w:rPr>
        <w:t xml:space="preserve">, and use a metric-weighted loss so every timestep contributes equally in metres. Regression is exactly the t = 0, x = 0 corner of both generative models.</w:t>
      </w:r>
    </w:p>
    <w:p>
      <w:pPr>
        <w:pStyle w:val="Heading1"/>
        <w:spacing w:after="50" w:line="240" w:lineRule="auto"/>
      </w:pPr>
      <w:r>
        <w:rPr>
          <w:sz w:val="23"/>
        </w:rPr>
        <w:t xml:space="preserve">3. Current progress</w:t>
      </w:r>
    </w:p>
    <w:p>
      <w:pPr>
        <w:spacing w:after="60" w:line="240" w:lineRule="auto"/>
      </w:pPr>
      <w:r>
        <w:rPr>
          <w:sz w:val="20"/>
        </w:rPr>
        <w:t xml:space="preserve">Held-out split, 4,096 scenes, K = 6, 3 seeds: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model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NFE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minADE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minFDE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miss@2m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latency</w:t>
            </w:r>
          </w:p>
        </w:tc>
      </w:tr>
      <w:tr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constant velocity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5.937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16.882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0.941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A regression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 xml:space="preserve">2.823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8.252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0.837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 xml:space="preserve">6.2 ms</w:t>
            </w:r>
          </w:p>
        </w:tc>
      </w:tr>
      <w:tr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C flow matching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 xml:space="preserve">1.826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4.825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0.574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18.9 ms</w:t>
            </w:r>
          </w:p>
        </w:tc>
      </w:tr>
      <w:tr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B diffusion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90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b/>
                <w:sz w:val="18"/>
              </w:rPr>
              <w:t xml:space="preserve">1.736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4.525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0.580</w:t>
            </w:r>
          </w:p>
        </w:tc>
        <w:tc>
          <w:tcPr>
            <w:tcW w:w="1500" w:type="dxa"/>
          </w:tcPr>
          <w:p>
            <w:pPr>
              <w:spacing w:after="20" w:line="240" w:lineRule="auto"/>
            </w:pPr>
            <w:r>
              <w:rPr>
                <w:sz w:val="18"/>
              </w:rPr>
              <w:t xml:space="preserve">59.5 ms</w:t>
            </w:r>
          </w:p>
        </w:tc>
      </w:tr>
    </w:tbl>
    <w:p>
      <w:pPr>
        <w:spacing w:after="40" w:line="240" w:lineRule="auto"/>
      </w:pPr>
    </w:p>
    <w:p>
      <w:pPr>
        <w:spacing w:after="60" w:line="240" w:lineRule="auto"/>
      </w:pPr>
      <w:r>
        <w:rPr>
          <w:sz w:val="20"/>
        </w:rPr>
        <w:t xml:space="preserve">Generative models beat regression by 1.5–1.6×, and all beat constant velocity by 3–3.4×. </w:t>
      </w:r>
      <w:r>
        <w:rPr>
          <w:b/>
          <w:sz w:val="20"/>
        </w:rPr>
        <w:t xml:space="preserve">RQ2 answer:</w:t>
      </w:r>
      <w:r>
        <w:rPr>
          <w:sz w:val="20"/>
        </w:rPr>
        <w:t xml:space="preserve"> diffusion wins by only </w:t>
      </w:r>
      <w:r>
        <w:rPr>
          <w:b/>
          <w:sz w:val="20"/>
        </w:rPr>
        <w:t xml:space="preserve">4.9 %</w:t>
      </w:r>
      <w:r>
        <w:rPr>
          <w:sz w:val="20"/>
        </w:rPr>
        <w:t xml:space="preserve"> at </w:t>
      </w:r>
      <w:r>
        <w:rPr>
          <w:b/>
          <w:sz w:val="20"/>
        </w:rPr>
        <w:t xml:space="preserve">3.75×</w:t>
      </w:r>
      <w:r>
        <w:rPr>
          <w:sz w:val="20"/>
        </w:rPr>
        <w:t xml:space="preserve"> the compute; flow matching saturates at 4 steps, and its 1-step form coincides with regression (2.943 vs 2.944).</w:t>
      </w:r>
    </w:p>
    <w:p>
      <w:pPr>
        <w:spacing w:after="60" w:line="240" w:lineRule="auto"/>
      </w:pPr>
      <w:r>
        <w:rPr>
          <w:sz w:val="20"/>
        </w:rPr>
        <w:t xml:space="preserve">For the selector we implemented oracle labelling, cascaded gates and a cost-sensitive regressor. Key methodological finding: the *naive* oracle gap is </w:t>
      </w:r>
      <w:r>
        <w:rPr>
          <w:b/>
          <w:sz w:val="20"/>
        </w:rPr>
        <w:t xml:space="preserve">22.4 %</w:t>
      </w:r>
      <w:r>
        <w:rPr>
          <w:sz w:val="20"/>
        </w:rPr>
        <w:t xml:space="preserve">, but a </w:t>
      </w:r>
      <w:r>
        <w:rPr>
          <w:b/>
          <w:sz w:val="20"/>
        </w:rPr>
        <w:t xml:space="preserve">split-half honest oracle</w:t>
      </w:r>
      <w:r>
        <w:rPr>
          <w:sz w:val="20"/>
        </w:rPr>
        <w:t xml:space="preserve"> — select the model on half of each model's candidates and evaluate on the other half — retains only </w:t>
      </w:r>
      <w:r>
        <w:rPr>
          <w:b/>
          <w:sz w:val="20"/>
        </w:rPr>
        <w:t xml:space="preserve">4.7 %</w:t>
      </w:r>
      <w:r>
        <w:rPr>
          <w:sz w:val="20"/>
        </w:rPr>
        <w:t xml:space="preserve">, so ≈80 % of the naive gap is selection noise rather than attainable gain. Our learned selector recovers </w:t>
      </w:r>
      <w:r>
        <w:rPr>
          <w:b/>
          <w:sz w:val="20"/>
        </w:rPr>
        <w:t xml:space="preserve">+1.1 % to +1.7 %</w:t>
      </w:r>
      <w:r>
        <w:rPr>
          <w:sz w:val="20"/>
        </w:rPr>
        <w:t xml:space="preserve"> over the linear interpolation of the fixed arms at matched latency, i.e. about a third of the honest ceiling.</w:t>
      </w:r>
    </w:p>
    <w:p>
      <w:pPr>
        <w:spacing w:after="60" w:line="240" w:lineRule="auto"/>
      </w:pPr>
      <w:r>
        <w:rPr>
          <w:sz w:val="20"/>
        </w:rPr>
        <w:t xml:space="preserve">Correctness is verified rather than assumed: a floor-relative single-scene overfit test (with a control run that correctly fails) and an *oracle-sampler* test whose error is </w:t>
      </w:r>
      <w:r>
        <w:rPr>
          <w:b/>
          <w:sz w:val="20"/>
        </w:rPr>
        <w:t xml:space="preserve">0.000e+00</w:t>
      </w:r>
      <w:r>
        <w:rPr>
          <w:sz w:val="20"/>
        </w:rPr>
        <w:t xml:space="preserve"> for 1…256 sampling steps in both paradigms.</w:t>
      </w:r>
    </w:p>
    <w:p>
      <w:pPr>
        <w:pStyle w:val="Heading1"/>
        <w:spacing w:after="50" w:line="240" w:lineRule="auto"/>
      </w:pPr>
      <w:r>
        <w:rPr>
          <w:sz w:val="23"/>
        </w:rPr>
        <w:t xml:space="preserve">4. Problems encountered</w:t>
      </w:r>
    </w:p>
    <w:p>
      <w:pPr>
        <w:spacing w:after="60" w:line="240" w:lineRule="auto"/>
      </w:pPr>
      <w:r>
        <w:rPr>
          <w:b/>
          <w:sz w:val="20"/>
        </w:rPr>
        <w:t xml:space="preserve">Data.</w:t>
      </w:r>
      <w:r>
        <w:rPr>
          <w:sz w:val="20"/>
        </w:rPr>
        <w:t xml:space="preserve"> Absolute UTM coordinates caused a 0.25 m float32 quantisation (now 3.8·10⁻⁶ m). Heading had to come from </w:t>
      </w:r>
      <w:r>
        <w:rPr>
          <w:rFonts w:ascii="Consolas" w:hAnsi="Consolas"/>
          <w:sz w:val="20"/>
        </w:rPr>
        <w:t xml:space="preserve">lidar_box.yaw</w:t>
      </w:r>
      <w:r>
        <w:rPr>
          <w:sz w:val="20"/>
        </w:rPr>
        <w:t xml:space="preserve"> rather than a position difference. Track positions carry frame-level jitter, so ground truth violates *any* absolute acceleration threshold 100 % of the time; the kinematic metric was therefore made relative to the data's own distribution.</w:t>
      </w:r>
    </w:p>
    <w:p>
      <w:pPr>
        <w:spacing w:after="60" w:line="240" w:lineRule="auto"/>
      </w:pPr>
      <w:r>
        <w:rPr>
          <w:b/>
          <w:sz w:val="20"/>
        </w:rPr>
        <w:t xml:space="preserve">Modelling.</w:t>
      </w:r>
      <w:r>
        <w:rPr>
          <w:sz w:val="20"/>
        </w:rPr>
        <w:t xml:space="preserve"> ε-parameterisation amplified field error up to 152×. A *position*-space DCT constraint added a systematic 0.2744·(v·dt) endpoint bias that its "99.9996 % energy retained" statistic completely hid (0.41 m at 15 m/s); it was replaced by the velocity-space form. Our first comparison was also unfair (a 284 K MLP head against a 2.47 M DiT) and was corrected. Finally, best-of-K (WTA), the standard remedy for multimodal collapse, </w:t>
      </w:r>
      <w:r>
        <w:rPr>
          <w:b/>
          <w:sz w:val="20"/>
        </w:rPr>
        <w:t xml:space="preserve">fails</w:t>
      </w:r>
      <w:r>
        <w:rPr>
          <w:sz w:val="20"/>
        </w:rPr>
        <w:t xml:space="preserve"> for sampler-integrated fields (2.539 vs 1.757 minADE).</w:t>
      </w:r>
    </w:p>
    <w:p>
      <w:pPr>
        <w:spacing w:after="60" w:line="240" w:lineRule="auto"/>
      </w:pPr>
      <w:r>
        <w:rPr>
          <w:b/>
          <w:sz w:val="20"/>
        </w:rPr>
        <w:t xml:space="preserve">Remaining limitations (measured).</w:t>
      </w:r>
      <w:r>
        <w:rPr>
          <w:sz w:val="20"/>
        </w:rPr>
        <w:t xml:space="preserve"> Output is over-smoothed (roughness 0.07× ground truth); K = 6 candidates span only 2.2–2.65 m laterally against a ground-truth p95 of 19.7 m; sharp turns above 10 m/s are essentially missed; there is no map input yet.</w:t>
      </w:r>
    </w:p>
    <w:p>
      <w:pPr>
        <w:pStyle w:val="Heading1"/>
        <w:spacing w:after="50" w:line="240" w:lineRule="auto"/>
      </w:pPr>
      <w:r>
        <w:rPr>
          <w:sz w:val="23"/>
        </w:rPr>
        <w:t xml:space="preserve">5. Plan for the next steps</w:t>
      </w:r>
    </w:p>
    <w:p>
      <w:pPr>
        <w:pStyle w:val="ListParagraph"/>
        <w:spacing w:after="40" w:line="240" w:lineRule="auto"/>
      </w:pPr>
      <w:r>
        <w:rPr>
          <w:sz w:val="20"/>
        </w:rPr>
        <w:t xml:space="preserve">1. Close the selector gap with map/lane features and direct optimisation of the</w:t>
      </w:r>
    </w:p>
    <w:p>
      <w:pPr>
        <w:spacing w:after="60" w:line="240" w:lineRule="auto"/>
      </w:pPr>
      <w:r>
        <w:rPr>
          <w:sz w:val="20"/>
        </w:rPr>
        <w:t xml:space="preserve">accuracy–latency Pareto front instead of threshold labels.</w:t>
      </w:r>
    </w:p>
    <w:p>
      <w:pPr>
        <w:pStyle w:val="ListParagraph"/>
        <w:spacing w:after="40" w:line="240" w:lineRule="auto"/>
      </w:pPr>
      <w:r>
        <w:rPr>
          <w:sz w:val="20"/>
        </w:rPr>
        <w:t xml:space="preserve">2. Add lane geometry to the encoder — the root cause of the turn failures.</w:t>
      </w:r>
    </w:p>
    <w:p>
      <w:pPr>
        <w:pStyle w:val="ListParagraph"/>
        <w:spacing w:after="40" w:line="240" w:lineRule="auto"/>
      </w:pPr>
      <w:r>
        <w:rPr>
          <w:sz w:val="20"/>
        </w:rPr>
        <w:t xml:space="preserve">3. A sampling-compatible mode-seeking objective (CFG-style guidance or a repulsion</w:t>
      </w:r>
    </w:p>
    <w:p>
      <w:pPr>
        <w:spacing w:after="60" w:line="240" w:lineRule="auto"/>
      </w:pPr>
      <w:r>
        <w:rPr>
          <w:sz w:val="20"/>
        </w:rPr>
        <w:t xml:space="preserve">term across candidates), since WTA is ruled out.</w:t>
      </w:r>
    </w:p>
    <w:p>
      <w:pPr>
        <w:pStyle w:val="ListParagraph"/>
        <w:spacing w:after="40" w:line="240" w:lineRule="auto"/>
      </w:pPr>
      <w:r>
        <w:rPr>
          <w:sz w:val="20"/>
        </w:rPr>
        <w:t xml:space="preserve">4. Multi-seed repeats of the full comparison and per-scenario stratification.</w:t>
      </w:r>
    </w:p>
    <w:sectPr>
      <w:pgSz w:w="11906" w:h="16838"/>
      <w:pgMar w:top="1000" w:right="1080" w:bottom="1000" w:left="108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0"/>
      </w:rPr>
    </w:rPrDefault>
    <w:pPrDefault>
      <w:pPr>
        <w:spacing w:after="60" w:line="240" w:lineRule="auto"/>
      </w:pPr>
    </w:pPrDefault>
  </w:docDefaults>
  <w:style w:type="paragraph" w:styleId="Title">
    <w:name w:val="Title"/>
    <w:pPr>
      <w:jc w:val="left"/>
      <w:spacing w:after="80"/>
    </w:pPr>
    <w:rPr>
      <w:b/>
      <w:sz w:val="30"/>
    </w:rPr>
  </w:style>
  <w:style w:type="paragraph" w:styleId="Heading1">
    <w:name w:val="heading 1"/>
    <w:pPr>
      <w:outlineLvl w:val="0"/>
      <w:spacing w:before="60" w:after="50"/>
    </w:pPr>
    <w:rPr>
      <w:b/>
      <w:sz w:val="23"/>
    </w:rPr>
  </w:style>
  <w:style w:type="paragraph" w:styleId="Heading2">
    <w:name w:val="heading 2"/>
    <w:pPr>
      <w:outlineLvl w:val="1"/>
      <w:spacing w:before="40" w:after="40"/>
    </w:pPr>
    <w:rPr>
      <w:b/>
      <w:sz w:val="21"/>
    </w:rPr>
  </w:style>
  <w:style w:type="paragraph" w:styleId="ListParagraph">
    <w:name w:val="List Paragraph"/>
    <w:pPr>
      <w:ind w:left="284" w:hanging="284"/>
    </w:pPr>
  </w:style>
  <w:style w:type="table" w:styleId="TableGrid">
    <w:name w:val="Table Grid"/>
    <w:tblPr>
      <w:tblCellMar>
        <w:top w:w="20" w:type="dxa"/>
        <w:left w:w="60" w:type="dxa"/>
        <w:bottom w:w="20" w:type="dxa"/>
        <w:right w:w="6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