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p>
    <w:p/>
    <w:p/>
    <w:p>
      <w:pPr>
        <w:jc w:val="left"/>
      </w:pPr>
      <w:r>
        <w:rPr>
          <w:b/>
          <w:color w:val="0B2A4A"/>
          <w:sz w:val="80"/>
        </w:rPr>
        <w:t>HOSPITALOS</w:t>
      </w:r>
    </w:p>
    <w:p>
      <w:r>
        <w:rPr>
          <w:b/>
          <w:color w:val="008496"/>
          <w:sz w:val="44"/>
        </w:rPr>
        <w:t>Industry-Grade Technical Blueprint</w:t>
      </w:r>
    </w:p>
    <w:p>
      <w:r>
        <w:rPr>
          <w:i/>
          <w:color w:val="666666"/>
          <w:sz w:val="26"/>
        </w:rPr>
        <w:t>How HospitalOS Out-Competes Industry Leaders Across All 10 Core Modules</w:t>
      </w:r>
    </w:p>
    <w:p/>
    <w:p/>
    <w:p>
      <w:pPr>
        <w:pBdr>
          <w:left w:val="single" w:sz="36" w:space="6" w:color="E86A1F"/>
        </w:pBdr>
        <w:ind w:left="216"/>
      </w:pPr>
      <w:r>
        <w:rPr>
          <w:b/>
          <w:color w:val="0B2A4A"/>
          <w:sz w:val="24"/>
        </w:rPr>
        <w:t>Strategy + architecture + implementation roadmap for building a world-class HMS</w:t>
      </w:r>
    </w:p>
    <w:p/>
    <w:p/>
    <w:tbl>
      <w:tblPr>
        <w:tblStyle w:val="LightGrid-Accent1"/>
        <w:tblW w:type="auto" w:w="0"/>
        <w:jc w:val="left"/>
        <w:tblLayout w:type="fixed"/>
        <w:tblLook w:firstColumn="1" w:firstRow="1" w:lastColumn="0" w:lastRow="0" w:noHBand="0" w:noVBand="1" w:val="04A0"/>
      </w:tblPr>
      <w:tblGrid>
        <w:gridCol w:w="4824"/>
        <w:gridCol w:w="4824"/>
      </w:tblGrid>
      <w:tr>
        <w:tc>
          <w:tcPr>
            <w:tcW w:type="dxa" w:w="2880"/>
            <w:shd w:val="clear" w:color="auto" w:fill="0B2A4A"/>
          </w:tcPr>
          <w:p>
            <w:pPr>
              <w:spacing w:after="40"/>
            </w:pPr>
            <w:r>
              <w:rPr>
                <w:b/>
                <w:color w:val="FFFFFF"/>
                <w:sz w:val="21"/>
              </w:rPr>
              <w:t>Field</w:t>
            </w:r>
          </w:p>
        </w:tc>
        <w:tc>
          <w:tcPr>
            <w:tcW w:type="dxa" w:w="6624"/>
            <w:shd w:val="clear" w:color="auto" w:fill="0B2A4A"/>
          </w:tcPr>
          <w:p>
            <w:pPr>
              <w:spacing w:after="40"/>
            </w:pPr>
            <w:r>
              <w:rPr>
                <w:b/>
                <w:color w:val="FFFFFF"/>
                <w:sz w:val="21"/>
              </w:rPr>
              <w:t>Detail</w:t>
            </w:r>
          </w:p>
        </w:tc>
      </w:tr>
      <w:tr>
        <w:tc>
          <w:tcPr>
            <w:tcW w:type="dxa" w:w="2880"/>
          </w:tcPr>
          <w:p>
            <w:pPr>
              <w:spacing w:after="40"/>
            </w:pPr>
            <w:r>
              <w:rPr>
                <w:color w:val="333333"/>
                <w:sz w:val="20"/>
              </w:rPr>
              <w:t>Document Type</w:t>
            </w:r>
          </w:p>
        </w:tc>
        <w:tc>
          <w:tcPr>
            <w:tcW w:type="dxa" w:w="6624"/>
          </w:tcPr>
          <w:p>
            <w:pPr>
              <w:spacing w:after="40"/>
            </w:pPr>
            <w:r>
              <w:rPr>
                <w:color w:val="333333"/>
                <w:sz w:val="20"/>
              </w:rPr>
              <w:t>Strategic Technical Blueprint</w:t>
            </w:r>
          </w:p>
        </w:tc>
      </w:tr>
      <w:tr>
        <w:tc>
          <w:tcPr>
            <w:tcW w:type="dxa" w:w="2880"/>
            <w:shd w:val="clear" w:color="auto" w:fill="F7F9FB"/>
          </w:tcPr>
          <w:p>
            <w:pPr>
              <w:spacing w:after="40"/>
            </w:pPr>
            <w:r>
              <w:rPr>
                <w:color w:val="333333"/>
                <w:sz w:val="20"/>
              </w:rPr>
              <w:t>Scope</w:t>
            </w:r>
          </w:p>
        </w:tc>
        <w:tc>
          <w:tcPr>
            <w:tcW w:type="dxa" w:w="6624"/>
            <w:shd w:val="clear" w:color="auto" w:fill="F7F9FB"/>
          </w:tcPr>
          <w:p>
            <w:pPr>
              <w:spacing w:after="40"/>
            </w:pPr>
            <w:r>
              <w:rPr>
                <w:color w:val="333333"/>
                <w:sz w:val="20"/>
              </w:rPr>
              <w:t>10 modules + Finance deep dive + Tally integration</w:t>
            </w:r>
          </w:p>
        </w:tc>
      </w:tr>
      <w:tr>
        <w:tc>
          <w:tcPr>
            <w:tcW w:type="dxa" w:w="2880"/>
          </w:tcPr>
          <w:p>
            <w:pPr>
              <w:spacing w:after="40"/>
            </w:pPr>
            <w:r>
              <w:rPr>
                <w:color w:val="333333"/>
                <w:sz w:val="20"/>
              </w:rPr>
              <w:t>Target</w:t>
            </w:r>
          </w:p>
        </w:tc>
        <w:tc>
          <w:tcPr>
            <w:tcW w:type="dxa" w:w="6624"/>
          </w:tcPr>
          <w:p>
            <w:pPr>
              <w:spacing w:after="40"/>
            </w:pPr>
            <w:r>
              <w:rPr>
                <w:color w:val="333333"/>
                <w:sz w:val="20"/>
              </w:rPr>
              <w:t>Apollo / Fortis / Manipal / Max-tier hospitals</w:t>
            </w:r>
          </w:p>
        </w:tc>
      </w:tr>
      <w:tr>
        <w:tc>
          <w:tcPr>
            <w:tcW w:type="dxa" w:w="2880"/>
            <w:shd w:val="clear" w:color="auto" w:fill="F7F9FB"/>
          </w:tcPr>
          <w:p>
            <w:pPr>
              <w:spacing w:after="40"/>
            </w:pPr>
            <w:r>
              <w:rPr>
                <w:color w:val="333333"/>
                <w:sz w:val="20"/>
              </w:rPr>
              <w:t>Market Opportunity</w:t>
            </w:r>
          </w:p>
        </w:tc>
        <w:tc>
          <w:tcPr>
            <w:tcW w:type="dxa" w:w="6624"/>
            <w:shd w:val="clear" w:color="auto" w:fill="F7F9FB"/>
          </w:tcPr>
          <w:p>
            <w:pPr>
              <w:spacing w:after="40"/>
            </w:pPr>
            <w:r>
              <w:rPr>
                <w:color w:val="333333"/>
                <w:sz w:val="20"/>
              </w:rPr>
              <w:t>Indian HMS: $4.08B → $12.89B by 2030 (21.3% CAGR)</w:t>
            </w:r>
          </w:p>
        </w:tc>
      </w:tr>
      <w:tr>
        <w:tc>
          <w:tcPr>
            <w:tcW w:type="dxa" w:w="2880"/>
          </w:tcPr>
          <w:p>
            <w:pPr>
              <w:spacing w:after="40"/>
            </w:pPr>
            <w:r>
              <w:rPr>
                <w:color w:val="333333"/>
                <w:sz w:val="20"/>
              </w:rPr>
              <w:t>Prepared For</w:t>
            </w:r>
          </w:p>
        </w:tc>
        <w:tc>
          <w:tcPr>
            <w:tcW w:type="dxa" w:w="6624"/>
          </w:tcPr>
          <w:p>
            <w:pPr>
              <w:spacing w:after="40"/>
            </w:pPr>
            <w:r>
              <w:rPr>
                <w:color w:val="333333"/>
                <w:sz w:val="20"/>
              </w:rPr>
              <w:t>Parikshit — Team Lead, Agentic AI &amp; Web Development</w:t>
            </w:r>
          </w:p>
        </w:tc>
      </w:tr>
      <w:tr>
        <w:tc>
          <w:tcPr>
            <w:tcW w:type="dxa" w:w="2880"/>
            <w:shd w:val="clear" w:color="auto" w:fill="F7F9FB"/>
          </w:tcPr>
          <w:p>
            <w:pPr>
              <w:spacing w:after="40"/>
            </w:pPr>
            <w:r>
              <w:rPr>
                <w:color w:val="333333"/>
                <w:sz w:val="20"/>
              </w:rPr>
              <w:t>Edition</w:t>
            </w:r>
          </w:p>
        </w:tc>
        <w:tc>
          <w:tcPr>
            <w:tcW w:type="dxa" w:w="6624"/>
            <w:shd w:val="clear" w:color="auto" w:fill="F7F9FB"/>
          </w:tcPr>
          <w:p>
            <w:pPr>
              <w:spacing w:after="40"/>
            </w:pPr>
            <w:r>
              <w:rPr>
                <w:color w:val="333333"/>
                <w:sz w:val="20"/>
              </w:rPr>
              <w:t>April 2026</w:t>
            </w:r>
          </w:p>
        </w:tc>
      </w:tr>
    </w:tbl>
    <w:p>
      <w:pPr>
        <w:spacing w:after="40"/>
      </w:pPr>
    </w:p>
    <w:p>
      <w:r>
        <w:br w:type="page"/>
      </w:r>
    </w:p>
    <w:p>
      <w:pPr>
        <w:keepNext/>
        <w:spacing w:before="360" w:after="160"/>
        <w:pBdr>
          <w:bottom w:val="single" w:sz="12" w:space="4" w:color="008496"/>
        </w:pBdr>
      </w:pPr>
      <w:r>
        <w:rPr>
          <w:b/>
          <w:color w:val="0B2A4A"/>
          <w:sz w:val="44"/>
        </w:rPr>
        <w:t>Contents</w:t>
      </w:r>
    </w:p>
    <w:p>
      <w:pPr>
        <w:spacing w:after="60"/>
        <w:ind w:left="288"/>
      </w:pPr>
      <w:r>
        <w:rPr>
          <w:color w:val="333333"/>
          <w:sz w:val="22"/>
        </w:rPr>
        <w:t>1. Executive Summary</w:t>
      </w:r>
    </w:p>
    <w:p>
      <w:pPr>
        <w:spacing w:after="60"/>
        <w:ind w:left="288"/>
      </w:pPr>
      <w:r>
        <w:rPr>
          <w:color w:val="333333"/>
          <w:sz w:val="22"/>
        </w:rPr>
        <w:t>2. Market Landscape &amp; Strategic Positioning</w:t>
      </w:r>
    </w:p>
    <w:p>
      <w:pPr>
        <w:spacing w:after="60"/>
        <w:ind w:left="288"/>
      </w:pPr>
      <w:r>
        <w:rPr>
          <w:color w:val="333333"/>
          <w:sz w:val="22"/>
        </w:rPr>
        <w:t>3. The Competitive Bar — What Industry-Grade Means in 2026</w:t>
      </w:r>
    </w:p>
    <w:p>
      <w:pPr>
        <w:spacing w:after="60"/>
        <w:ind w:left="288"/>
      </w:pPr>
      <w:r>
        <w:rPr>
          <w:color w:val="333333"/>
          <w:sz w:val="22"/>
        </w:rPr>
        <w:t>4. Module 1 — Patient Management</w:t>
      </w:r>
    </w:p>
    <w:p>
      <w:pPr>
        <w:spacing w:after="60"/>
        <w:ind w:left="288"/>
      </w:pPr>
      <w:r>
        <w:rPr>
          <w:color w:val="333333"/>
          <w:sz w:val="22"/>
        </w:rPr>
        <w:t>5. Module 2 — Appointment, OPD &amp; IPD</w:t>
      </w:r>
    </w:p>
    <w:p>
      <w:pPr>
        <w:spacing w:after="60"/>
        <w:ind w:left="288"/>
      </w:pPr>
      <w:r>
        <w:rPr>
          <w:color w:val="333333"/>
          <w:sz w:val="22"/>
        </w:rPr>
        <w:t>6. Module 3 — EMR (Doctor + Clinical Data)</w:t>
      </w:r>
    </w:p>
    <w:p>
      <w:pPr>
        <w:spacing w:after="60"/>
        <w:ind w:left="288"/>
      </w:pPr>
      <w:r>
        <w:rPr>
          <w:color w:val="333333"/>
          <w:sz w:val="22"/>
        </w:rPr>
        <w:t>7. Module 4 — Lab Management (LIMS)</w:t>
      </w:r>
    </w:p>
    <w:p>
      <w:pPr>
        <w:spacing w:after="60"/>
        <w:ind w:left="288"/>
      </w:pPr>
      <w:r>
        <w:rPr>
          <w:color w:val="333333"/>
          <w:sz w:val="22"/>
        </w:rPr>
        <w:t>8. Module 5 — Pharmacy Management</w:t>
      </w:r>
    </w:p>
    <w:p>
      <w:pPr>
        <w:spacing w:after="60"/>
        <w:ind w:left="288"/>
      </w:pPr>
      <w:r>
        <w:rPr>
          <w:color w:val="333333"/>
          <w:sz w:val="22"/>
        </w:rPr>
        <w:t>9. Module 6 — Billing Engine</w:t>
      </w:r>
    </w:p>
    <w:p>
      <w:pPr>
        <w:spacing w:after="60"/>
        <w:ind w:left="288"/>
      </w:pPr>
      <w:r>
        <w:rPr>
          <w:color w:val="333333"/>
          <w:sz w:val="22"/>
        </w:rPr>
        <w:t>10. Module 7 — Inventory System</w:t>
      </w:r>
    </w:p>
    <w:p>
      <w:pPr>
        <w:spacing w:after="60"/>
        <w:ind w:left="288"/>
      </w:pPr>
      <w:r>
        <w:rPr>
          <w:color w:val="333333"/>
          <w:sz w:val="22"/>
        </w:rPr>
        <w:t>11. Module 8 — Finance &amp; Accounting (DEEP DIVE)</w:t>
      </w:r>
    </w:p>
    <w:p>
      <w:pPr>
        <w:spacing w:after="60"/>
        <w:ind w:left="288"/>
      </w:pPr>
      <w:r>
        <w:rPr>
          <w:color w:val="333333"/>
          <w:sz w:val="22"/>
        </w:rPr>
        <w:t>12. Module 9 — HR &amp; Payroll</w:t>
      </w:r>
    </w:p>
    <w:p>
      <w:pPr>
        <w:spacing w:after="60"/>
        <w:ind w:left="288"/>
      </w:pPr>
      <w:r>
        <w:rPr>
          <w:color w:val="333333"/>
          <w:sz w:val="22"/>
        </w:rPr>
        <w:t>13. Module 10 — CRM &amp; Notifications</w:t>
      </w:r>
    </w:p>
    <w:p>
      <w:pPr>
        <w:spacing w:after="60"/>
        <w:ind w:left="288"/>
      </w:pPr>
      <w:r>
        <w:rPr>
          <w:color w:val="333333"/>
          <w:sz w:val="22"/>
        </w:rPr>
        <w:t>14. Big-Hospital Architecture (Apollo/Fortis-grade)</w:t>
      </w:r>
    </w:p>
    <w:p>
      <w:pPr>
        <w:spacing w:after="60"/>
        <w:ind w:left="288"/>
      </w:pPr>
      <w:r>
        <w:rPr>
          <w:color w:val="333333"/>
          <w:sz w:val="22"/>
        </w:rPr>
        <w:t>15. Tally Prime Integration — Reference Architecture</w:t>
      </w:r>
    </w:p>
    <w:p>
      <w:pPr>
        <w:spacing w:after="60"/>
        <w:ind w:left="288"/>
      </w:pPr>
      <w:r>
        <w:rPr>
          <w:color w:val="333333"/>
          <w:sz w:val="22"/>
        </w:rPr>
        <w:t>16. Implementation Roadmap (0–24 months)</w:t>
      </w:r>
    </w:p>
    <w:p>
      <w:pPr>
        <w:spacing w:after="60"/>
        <w:ind w:left="288"/>
      </w:pPr>
      <w:r>
        <w:rPr>
          <w:color w:val="333333"/>
          <w:sz w:val="22"/>
        </w:rPr>
        <w:t>17. Build Order &amp; Team Structure</w:t>
      </w:r>
    </w:p>
    <w:p>
      <w:pPr>
        <w:spacing w:after="60"/>
        <w:ind w:left="288"/>
      </w:pPr>
      <w:r>
        <w:rPr>
          <w:color w:val="333333"/>
          <w:sz w:val="22"/>
        </w:rPr>
        <w:t>18. Closing — How HospitalOS Wins</w:t>
      </w:r>
    </w:p>
    <w:p>
      <w:r>
        <w:br w:type="page"/>
      </w:r>
    </w:p>
    <w:p>
      <w:pPr>
        <w:keepNext/>
        <w:spacing w:before="360" w:after="160"/>
        <w:pBdr>
          <w:bottom w:val="single" w:sz="12" w:space="4" w:color="008496"/>
        </w:pBdr>
      </w:pPr>
      <w:r>
        <w:rPr>
          <w:b/>
          <w:color w:val="0B2A4A"/>
          <w:sz w:val="44"/>
        </w:rPr>
        <w:t>1. Executive Summary</w:t>
      </w:r>
    </w:p>
    <w:p>
      <w:pPr>
        <w:spacing w:after="80" w:lineRule="auto" w:line="276"/>
      </w:pPr>
      <w:r>
        <w:rPr>
          <w:color w:val="333333"/>
          <w:sz w:val="22"/>
        </w:rPr>
        <w:t>HospitalOS is being built to compete head-on with the dominant Hospital Information Systems used in India today — Birlamedisoft Quanta, Suvarna HIS, Akhil Systems, MocDoc, Insta HMS, Practo Ray, eHospital, Napier HIS, and global players like Epic, Cerner (Oracle Health) and InterSystems TrakCare. Most of these systems are aging, modular but loosely coupled, weak on AI, painful for clinicians, and almost always fall apart at the seam between hospital operations and finance/accounting.</w:t>
      </w:r>
    </w:p>
    <w:p>
      <w:pPr>
        <w:spacing w:after="80" w:lineRule="auto" w:line="276"/>
      </w:pPr>
      <w:r>
        <w:rPr>
          <w:color w:val="333333"/>
          <w:sz w:val="22"/>
        </w:rPr>
        <w:t>This blueprint defines the standard HospitalOS must hit to be considered industry-grade across all 10 core modules — Patient Management, Appointment &amp; OPD/IPD, EMR, Lab, Pharmacy, Billing, Inventory, Finance &amp; Accounting, HR &amp; Payroll, and CRM &amp; Notifications. The Finance &amp; Accounting chapter is the deepest section in this document because it is where the largest hospital chains lose money, where most HMS products fail, and where HospitalOS has the clearest path to dominate.</w:t>
      </w:r>
    </w:p>
    <w:tbl>
      <w:tblPr>
        <w:tblW w:type="auto" w:w="0"/>
        <w:jc w:val="left"/>
        <w:tblLayout w:type="fixed"/>
        <w:tblLook w:firstColumn="1" w:firstRow="1" w:lastColumn="0" w:lastRow="0" w:noHBand="0" w:noVBand="1" w:val="04A0"/>
      </w:tblPr>
      <w:tblGrid>
        <w:gridCol w:w="9648"/>
      </w:tblGrid>
      <w:tr>
        <w:tc>
          <w:tcPr>
            <w:tcW w:type="dxa" w:w="9504"/>
            <w:shd w:val="clear" w:color="auto" w:fill="E0F2F4"/>
            <w:tcBorders>
              <w:top w:val="single" w:sz="8" w:space="0" w:color="008496"/>
              <w:left w:val="single" w:sz="24" w:space="0" w:color="008496"/>
              <w:bottom w:val="single" w:sz="8" w:space="0" w:color="008496"/>
              <w:right w:val="single" w:sz="8" w:space="0" w:color="008496"/>
            </w:tcBorders>
          </w:tcPr>
          <w:p>
            <w:pPr>
              <w:spacing w:after="40"/>
            </w:pPr>
            <w:r>
              <w:rPr>
                <w:b/>
                <w:color w:val="0B2A4A"/>
                <w:sz w:val="22"/>
              </w:rPr>
              <w:t>The thesis in one paragraph</w:t>
            </w:r>
          </w:p>
          <w:p>
            <w:pPr>
              <w:spacing w:after="40"/>
            </w:pPr>
            <w:r>
              <w:rPr>
                <w:color w:val="333333"/>
                <w:sz w:val="20"/>
              </w:rPr>
              <w:t>Win the doctor first (best-in-class EMR + AI scribing), win the CFO second (real double-entry accounting + native Tally Prime sync + hospital-specific RCM and KPIs), and win the CIO third (HL7 FHIR R4 + ABDM-native + multi-tenant architecture proven at 10,000+ OPD/day). Every other vendor in India is strong in only one of these three. HospitalOS will be strong in all three.</w:t>
            </w:r>
          </w:p>
        </w:tc>
      </w:tr>
    </w:tbl>
    <w:p>
      <w:pPr>
        <w:spacing w:after="40"/>
      </w:pPr>
    </w:p>
    <w:p>
      <w:pPr>
        <w:keepNext/>
        <w:spacing w:before="200" w:after="80"/>
      </w:pPr>
      <w:r>
        <w:rPr>
          <w:b/>
          <w:color w:val="008496"/>
          <w:sz w:val="26"/>
        </w:rPr>
        <w:t>What makes this blueprint different</w:t>
      </w:r>
    </w:p>
    <w:p>
      <w:pPr>
        <w:pStyle w:val="ListBullet"/>
        <w:spacing w:after="40"/>
        <w:ind w:left="360"/>
      </w:pPr>
      <w:r>
        <w:rPr>
          <w:color w:val="333333"/>
          <w:sz w:val="22"/>
        </w:rPr>
        <w:t>Every module is benchmarked against named competitors and named feature gaps in their products.</w:t>
      </w:r>
    </w:p>
    <w:p>
      <w:pPr>
        <w:pStyle w:val="ListBullet"/>
        <w:spacing w:after="40"/>
        <w:ind w:left="360"/>
      </w:pPr>
      <w:r>
        <w:rPr>
          <w:color w:val="333333"/>
          <w:sz w:val="22"/>
        </w:rPr>
        <w:t>Finance is treated as a first-class accounting system, not a billing afterthought — full double-entry, GL, AP/AR, cost centers, and hospital-specific KPIs.</w:t>
      </w:r>
    </w:p>
    <w:p>
      <w:pPr>
        <w:pStyle w:val="ListBullet"/>
        <w:spacing w:after="40"/>
        <w:ind w:left="360"/>
      </w:pPr>
      <w:r>
        <w:rPr>
          <w:color w:val="333333"/>
          <w:sz w:val="22"/>
        </w:rPr>
        <w:t>Tally Prime integration is documented at architecture level — XML/JSON gateway, ODBC, TDL, and bi-directional sync.</w:t>
      </w:r>
    </w:p>
    <w:p>
      <w:pPr>
        <w:pStyle w:val="ListBullet"/>
        <w:spacing w:after="40"/>
        <w:ind w:left="360"/>
      </w:pPr>
      <w:r>
        <w:rPr>
          <w:color w:val="333333"/>
          <w:sz w:val="22"/>
        </w:rPr>
        <w:t>Compliance is built into the data model from day one — ABDM/ABHA, HL7 FHIR R4, NABH 651 objectives, GST exemption logic, Section 194J TDS, IND-AS / IFRS, HIPAA, GDPR.</w:t>
      </w:r>
    </w:p>
    <w:p>
      <w:pPr>
        <w:pStyle w:val="ListBullet"/>
        <w:spacing w:after="40"/>
        <w:ind w:left="360"/>
      </w:pPr>
      <w:r>
        <w:rPr>
          <w:color w:val="333333"/>
          <w:sz w:val="22"/>
        </w:rPr>
        <w:t>Big-hospital architecture is sized for chains like Apollo and Fortis: hybrid cloud, multi-branch, 10,000+ OPD/day, OT/ICU/Cath Lab/Oncology/Dialysis sub-modules.</w:t>
      </w:r>
    </w:p>
    <w:p>
      <w:r>
        <w:br w:type="page"/>
      </w:r>
    </w:p>
    <w:p>
      <w:pPr>
        <w:keepNext/>
        <w:spacing w:before="360" w:after="160"/>
        <w:pBdr>
          <w:bottom w:val="single" w:sz="12" w:space="4" w:color="008496"/>
        </w:pBdr>
      </w:pPr>
      <w:r>
        <w:rPr>
          <w:b/>
          <w:color w:val="0B2A4A"/>
          <w:sz w:val="44"/>
        </w:rPr>
        <w:t>2. Market Landscape &amp; Strategic Positioning</w:t>
      </w:r>
    </w:p>
    <w:p>
      <w:pPr>
        <w:keepNext/>
        <w:spacing w:before="280" w:after="120"/>
      </w:pPr>
      <w:r>
        <w:rPr>
          <w:b/>
          <w:color w:val="0B2A4A"/>
          <w:sz w:val="32"/>
        </w:rPr>
        <w:t>2.1 The market in numbers</w:t>
      </w:r>
    </w:p>
    <w:p>
      <w:pPr>
        <w:spacing w:after="80" w:lineRule="auto" w:line="276"/>
      </w:pPr>
      <w:r>
        <w:rPr>
          <w:color w:val="333333"/>
          <w:sz w:val="22"/>
        </w:rPr>
        <w:t>The Indian HMS market is currently estimated at USD 4.08 billion and is projected to reach USD 12.89 billion by 2030, growing at a 21.3% CAGR — one of the fastest growing healthcare IT segments in the world. There are roughly 70,000 hospitals in India, but only 1,299 are NABH-accredited, and only ~1.59 lakh facilities are ABDM-enabled. The hospital chain consolidation wave (Apollo, Fortis, Manipal, Max, Aster, Narayana, Medanta) is creating fewer, larger buyers — exactly the type of buyer where a modern HMS can displace legacy software.</w:t>
      </w:r>
    </w:p>
    <w:p>
      <w:pPr>
        <w:keepNext/>
        <w:spacing w:before="280" w:after="120"/>
      </w:pPr>
      <w:r>
        <w:rPr>
          <w:b/>
          <w:color w:val="0B2A4A"/>
          <w:sz w:val="32"/>
        </w:rPr>
        <w:t>2.2 Why incumbents are vulnerable</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168"/>
            <w:shd w:val="clear" w:color="auto" w:fill="0B2A4A"/>
          </w:tcPr>
          <w:p>
            <w:pPr>
              <w:spacing w:after="40"/>
            </w:pPr>
            <w:r>
              <w:rPr>
                <w:b/>
                <w:color w:val="FFFFFF"/>
                <w:sz w:val="21"/>
              </w:rPr>
              <w:t>Incumbent</w:t>
            </w:r>
          </w:p>
        </w:tc>
        <w:tc>
          <w:tcPr>
            <w:tcW w:type="dxa" w:w="6336"/>
            <w:shd w:val="clear" w:color="auto" w:fill="0B2A4A"/>
          </w:tcPr>
          <w:p>
            <w:pPr>
              <w:spacing w:after="40"/>
            </w:pPr>
            <w:r>
              <w:rPr>
                <w:b/>
                <w:color w:val="FFFFFF"/>
                <w:sz w:val="21"/>
              </w:rPr>
              <w:t>Where they lose</w:t>
            </w:r>
          </w:p>
        </w:tc>
      </w:tr>
      <w:tr>
        <w:tc>
          <w:tcPr>
            <w:tcW w:type="dxa" w:w="3168"/>
          </w:tcPr>
          <w:p>
            <w:pPr>
              <w:spacing w:after="40"/>
            </w:pPr>
            <w:r>
              <w:rPr>
                <w:color w:val="333333"/>
                <w:sz w:val="20"/>
              </w:rPr>
              <w:t>Birlamedisoft / Akhil / Napier</w:t>
            </w:r>
          </w:p>
        </w:tc>
        <w:tc>
          <w:tcPr>
            <w:tcW w:type="dxa" w:w="6336"/>
          </w:tcPr>
          <w:p>
            <w:pPr>
              <w:spacing w:after="40"/>
            </w:pPr>
            <w:r>
              <w:rPr>
                <w:color w:val="333333"/>
                <w:sz w:val="20"/>
              </w:rPr>
              <w:t>Aging Windows-era stack, weak mobile/cloud, no AI scribing, weak Tally sync.</w:t>
            </w:r>
          </w:p>
        </w:tc>
      </w:tr>
      <w:tr>
        <w:tc>
          <w:tcPr>
            <w:tcW w:type="dxa" w:w="3168"/>
            <w:shd w:val="clear" w:color="auto" w:fill="F7F9FB"/>
          </w:tcPr>
          <w:p>
            <w:pPr>
              <w:spacing w:after="40"/>
            </w:pPr>
            <w:r>
              <w:rPr>
                <w:color w:val="333333"/>
                <w:sz w:val="20"/>
              </w:rPr>
              <w:t>Suvarna HIS</w:t>
            </w:r>
          </w:p>
        </w:tc>
        <w:tc>
          <w:tcPr>
            <w:tcW w:type="dxa" w:w="6336"/>
            <w:shd w:val="clear" w:color="auto" w:fill="F7F9FB"/>
          </w:tcPr>
          <w:p>
            <w:pPr>
              <w:spacing w:after="40"/>
            </w:pPr>
            <w:r>
              <w:rPr>
                <w:color w:val="333333"/>
                <w:sz w:val="20"/>
              </w:rPr>
              <w:t>Strong in govt hospitals, weak UX, limited modern integrations.</w:t>
            </w:r>
          </w:p>
        </w:tc>
      </w:tr>
      <w:tr>
        <w:tc>
          <w:tcPr>
            <w:tcW w:type="dxa" w:w="3168"/>
          </w:tcPr>
          <w:p>
            <w:pPr>
              <w:spacing w:after="40"/>
            </w:pPr>
            <w:r>
              <w:rPr>
                <w:color w:val="333333"/>
                <w:sz w:val="20"/>
              </w:rPr>
              <w:t>MocDoc</w:t>
            </w:r>
          </w:p>
        </w:tc>
        <w:tc>
          <w:tcPr>
            <w:tcW w:type="dxa" w:w="6336"/>
          </w:tcPr>
          <w:p>
            <w:pPr>
              <w:spacing w:after="40"/>
            </w:pPr>
            <w:r>
              <w:rPr>
                <w:color w:val="333333"/>
                <w:sz w:val="20"/>
              </w:rPr>
              <w:t>Decent SMB product, but breaks at multi-branch + serious accounting.</w:t>
            </w:r>
          </w:p>
        </w:tc>
      </w:tr>
      <w:tr>
        <w:tc>
          <w:tcPr>
            <w:tcW w:type="dxa" w:w="3168"/>
            <w:shd w:val="clear" w:color="auto" w:fill="F7F9FB"/>
          </w:tcPr>
          <w:p>
            <w:pPr>
              <w:spacing w:after="40"/>
            </w:pPr>
            <w:r>
              <w:rPr>
                <w:color w:val="333333"/>
                <w:sz w:val="20"/>
              </w:rPr>
              <w:t>Insta HMS / Practo Ray</w:t>
            </w:r>
          </w:p>
        </w:tc>
        <w:tc>
          <w:tcPr>
            <w:tcW w:type="dxa" w:w="6336"/>
            <w:shd w:val="clear" w:color="auto" w:fill="F7F9FB"/>
          </w:tcPr>
          <w:p>
            <w:pPr>
              <w:spacing w:after="40"/>
            </w:pPr>
            <w:r>
              <w:rPr>
                <w:color w:val="333333"/>
                <w:sz w:val="20"/>
              </w:rPr>
              <w:t>Clinic-grade — not built for IPD, OT, ICU, Pharmacy, Tally-grade finance.</w:t>
            </w:r>
          </w:p>
        </w:tc>
      </w:tr>
      <w:tr>
        <w:tc>
          <w:tcPr>
            <w:tcW w:type="dxa" w:w="3168"/>
          </w:tcPr>
          <w:p>
            <w:pPr>
              <w:spacing w:after="40"/>
            </w:pPr>
            <w:r>
              <w:rPr>
                <w:color w:val="333333"/>
                <w:sz w:val="20"/>
              </w:rPr>
              <w:t>Epic / Cerner (Oracle Health)</w:t>
            </w:r>
          </w:p>
        </w:tc>
        <w:tc>
          <w:tcPr>
            <w:tcW w:type="dxa" w:w="6336"/>
          </w:tcPr>
          <w:p>
            <w:pPr>
              <w:spacing w:after="40"/>
            </w:pPr>
            <w:r>
              <w:rPr>
                <w:color w:val="333333"/>
                <w:sz w:val="20"/>
              </w:rPr>
              <w:t>INR 50–500 cr+ price tag, multi-year implementations, irrelevant for Indian KPIs.</w:t>
            </w:r>
          </w:p>
        </w:tc>
      </w:tr>
      <w:tr>
        <w:tc>
          <w:tcPr>
            <w:tcW w:type="dxa" w:w="3168"/>
            <w:shd w:val="clear" w:color="auto" w:fill="F7F9FB"/>
          </w:tcPr>
          <w:p>
            <w:pPr>
              <w:spacing w:after="40"/>
            </w:pPr>
            <w:r>
              <w:rPr>
                <w:color w:val="333333"/>
                <w:sz w:val="20"/>
              </w:rPr>
              <w:t>InterSystems TrakCare</w:t>
            </w:r>
          </w:p>
        </w:tc>
        <w:tc>
          <w:tcPr>
            <w:tcW w:type="dxa" w:w="6336"/>
            <w:shd w:val="clear" w:color="auto" w:fill="F7F9FB"/>
          </w:tcPr>
          <w:p>
            <w:pPr>
              <w:spacing w:after="40"/>
            </w:pPr>
            <w:r>
              <w:rPr>
                <w:color w:val="333333"/>
                <w:sz w:val="20"/>
              </w:rPr>
              <w:t>Enterprise, but expensive, slow to deploy, weak ABDM/Tally.</w:t>
            </w:r>
          </w:p>
        </w:tc>
      </w:tr>
    </w:tbl>
    <w:p>
      <w:pPr>
        <w:spacing w:after="40"/>
      </w:pPr>
    </w:p>
    <w:p>
      <w:pPr>
        <w:keepNext/>
        <w:spacing w:before="280" w:after="120"/>
      </w:pPr>
      <w:r>
        <w:rPr>
          <w:b/>
          <w:color w:val="0B2A4A"/>
          <w:sz w:val="32"/>
        </w:rPr>
        <w:t>2.3 HospitalOS positioning</w:t>
      </w:r>
    </w:p>
    <w:p>
      <w:pPr>
        <w:spacing w:after="80" w:lineRule="auto" w:line="276"/>
      </w:pPr>
      <w:r>
        <w:rPr>
          <w:color w:val="333333"/>
          <w:sz w:val="22"/>
        </w:rPr>
        <w:t>HospitalOS sits in the gap between SMB clinic software (MocDoc, Practo, Insta) and global enterprise EMRs (Epic, Cerner). The category to claim is: 'India's first AI-native, ABDM-native, Tally-native Hospital OS — for hospitals from 50 to 5,000 beds'. That sentence is the wedge.</w:t>
      </w:r>
    </w:p>
    <w:tbl>
      <w:tblPr>
        <w:tblW w:type="auto" w:w="0"/>
        <w:jc w:val="left"/>
        <w:tblLayout w:type="fixed"/>
        <w:tblLook w:firstColumn="1" w:firstRow="1" w:lastColumn="0" w:lastRow="0" w:noHBand="0" w:noVBand="1" w:val="04A0"/>
      </w:tblPr>
      <w:tblGrid>
        <w:gridCol w:w="9648"/>
      </w:tblGrid>
      <w:tr>
        <w:tc>
          <w:tcPr>
            <w:tcW w:type="dxa" w:w="9504"/>
            <w:shd w:val="clear" w:color="auto" w:fill="E0F2F4"/>
            <w:tcBorders>
              <w:top w:val="single" w:sz="8" w:space="0" w:color="008496"/>
              <w:left w:val="single" w:sz="24" w:space="0" w:color="008496"/>
              <w:bottom w:val="single" w:sz="8" w:space="0" w:color="008496"/>
              <w:right w:val="single" w:sz="8" w:space="0" w:color="008496"/>
            </w:tcBorders>
          </w:tcPr>
          <w:p>
            <w:pPr>
              <w:spacing w:after="40"/>
            </w:pPr>
            <w:r>
              <w:rPr>
                <w:b/>
                <w:color w:val="0B2A4A"/>
                <w:sz w:val="22"/>
              </w:rPr>
              <w:t>Strategic anchor</w:t>
            </w:r>
          </w:p>
          <w:p>
            <w:pPr>
              <w:spacing w:after="40"/>
            </w:pPr>
            <w:r>
              <w:rPr>
                <w:color w:val="333333"/>
                <w:sz w:val="20"/>
              </w:rPr>
              <w:t>HospitalOS does not compete on features. It competes on three structural advantages: (1) AI-native clinical workflows, (2) accounting-grade finance + Tally sync, (3) ABDM/FHIR-native interoperability. Everything else is table stakes.</w:t>
            </w:r>
          </w:p>
        </w:tc>
      </w:tr>
    </w:tbl>
    <w:p>
      <w:pPr>
        <w:spacing w:after="40"/>
      </w:pPr>
    </w:p>
    <w:p>
      <w:r>
        <w:br w:type="page"/>
      </w:r>
    </w:p>
    <w:p>
      <w:pPr>
        <w:keepNext/>
        <w:spacing w:before="360" w:after="160"/>
        <w:pBdr>
          <w:bottom w:val="single" w:sz="12" w:space="4" w:color="008496"/>
        </w:pBdr>
      </w:pPr>
      <w:r>
        <w:rPr>
          <w:b/>
          <w:color w:val="0B2A4A"/>
          <w:sz w:val="44"/>
        </w:rPr>
        <w:t>3. The Competitive Bar — What Industry-Grade Means in 2026</w:t>
      </w:r>
    </w:p>
    <w:p>
      <w:pPr>
        <w:spacing w:after="80" w:lineRule="auto" w:line="276"/>
      </w:pPr>
      <w:r>
        <w:rPr>
          <w:color w:val="333333"/>
          <w:sz w:val="22"/>
        </w:rPr>
        <w:t>Before designing each module, define the bar. An 'industry-grade' HMS in 2026 is not the same thing it was in 2018. The bar has moved on six axes:</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2448"/>
            <w:shd w:val="clear" w:color="auto" w:fill="0B2A4A"/>
          </w:tcPr>
          <w:p>
            <w:pPr>
              <w:spacing w:after="40"/>
            </w:pPr>
            <w:r>
              <w:rPr>
                <w:b/>
                <w:color w:val="FFFFFF"/>
                <w:sz w:val="21"/>
              </w:rPr>
              <w:t>Axis</w:t>
            </w:r>
          </w:p>
        </w:tc>
        <w:tc>
          <w:tcPr>
            <w:tcW w:type="dxa" w:w="7056"/>
            <w:shd w:val="clear" w:color="auto" w:fill="0B2A4A"/>
          </w:tcPr>
          <w:p>
            <w:pPr>
              <w:spacing w:after="40"/>
            </w:pPr>
            <w:r>
              <w:rPr>
                <w:b/>
                <w:color w:val="FFFFFF"/>
                <w:sz w:val="21"/>
              </w:rPr>
              <w:t>What 'industry-grade' means in 2026</w:t>
            </w:r>
          </w:p>
        </w:tc>
      </w:tr>
      <w:tr>
        <w:tc>
          <w:tcPr>
            <w:tcW w:type="dxa" w:w="2448"/>
          </w:tcPr>
          <w:p>
            <w:pPr>
              <w:spacing w:after="40"/>
            </w:pPr>
            <w:r>
              <w:rPr>
                <w:color w:val="333333"/>
                <w:sz w:val="20"/>
              </w:rPr>
              <w:t>Architecture</w:t>
            </w:r>
          </w:p>
        </w:tc>
        <w:tc>
          <w:tcPr>
            <w:tcW w:type="dxa" w:w="7056"/>
          </w:tcPr>
          <w:p>
            <w:pPr>
              <w:spacing w:after="40"/>
            </w:pPr>
            <w:r>
              <w:rPr>
                <w:color w:val="333333"/>
                <w:sz w:val="20"/>
              </w:rPr>
              <w:t>Cloud-native, multi-tenant, micro-services or modular monolith, horizontal scaling, 99.95% SLA.</w:t>
            </w:r>
          </w:p>
        </w:tc>
      </w:tr>
      <w:tr>
        <w:tc>
          <w:tcPr>
            <w:tcW w:type="dxa" w:w="2448"/>
            <w:shd w:val="clear" w:color="auto" w:fill="F7F9FB"/>
          </w:tcPr>
          <w:p>
            <w:pPr>
              <w:spacing w:after="40"/>
            </w:pPr>
            <w:r>
              <w:rPr>
                <w:color w:val="333333"/>
                <w:sz w:val="20"/>
              </w:rPr>
              <w:t>Interoperability</w:t>
            </w:r>
          </w:p>
        </w:tc>
        <w:tc>
          <w:tcPr>
            <w:tcW w:type="dxa" w:w="7056"/>
            <w:shd w:val="clear" w:color="auto" w:fill="F7F9FB"/>
          </w:tcPr>
          <w:p>
            <w:pPr>
              <w:spacing w:after="40"/>
            </w:pPr>
            <w:r>
              <w:rPr>
                <w:color w:val="333333"/>
                <w:sz w:val="20"/>
              </w:rPr>
              <w:t>HL7 FHIR R4 native, ABDM/ABHA from day 1, DICOM, LOINC, ICD-10, SNOMED CT.</w:t>
            </w:r>
          </w:p>
        </w:tc>
      </w:tr>
      <w:tr>
        <w:tc>
          <w:tcPr>
            <w:tcW w:type="dxa" w:w="2448"/>
          </w:tcPr>
          <w:p>
            <w:pPr>
              <w:spacing w:after="40"/>
            </w:pPr>
            <w:r>
              <w:rPr>
                <w:color w:val="333333"/>
                <w:sz w:val="20"/>
              </w:rPr>
              <w:t>Clinical UX</w:t>
            </w:r>
          </w:p>
        </w:tc>
        <w:tc>
          <w:tcPr>
            <w:tcW w:type="dxa" w:w="7056"/>
          </w:tcPr>
          <w:p>
            <w:pPr>
              <w:spacing w:after="40"/>
            </w:pPr>
            <w:r>
              <w:rPr>
                <w:color w:val="333333"/>
                <w:sz w:val="20"/>
              </w:rPr>
              <w:t>Sub-3-click flows for doctors, voice-driven scribing, mobile-first nurses.</w:t>
            </w:r>
          </w:p>
        </w:tc>
      </w:tr>
      <w:tr>
        <w:tc>
          <w:tcPr>
            <w:tcW w:type="dxa" w:w="2448"/>
            <w:shd w:val="clear" w:color="auto" w:fill="F7F9FB"/>
          </w:tcPr>
          <w:p>
            <w:pPr>
              <w:spacing w:after="40"/>
            </w:pPr>
            <w:r>
              <w:rPr>
                <w:color w:val="333333"/>
                <w:sz w:val="20"/>
              </w:rPr>
              <w:t>AI / ML</w:t>
            </w:r>
          </w:p>
        </w:tc>
        <w:tc>
          <w:tcPr>
            <w:tcW w:type="dxa" w:w="7056"/>
            <w:shd w:val="clear" w:color="auto" w:fill="F7F9FB"/>
          </w:tcPr>
          <w:p>
            <w:pPr>
              <w:spacing w:after="40"/>
            </w:pPr>
            <w:r>
              <w:rPr>
                <w:color w:val="333333"/>
                <w:sz w:val="20"/>
              </w:rPr>
              <w:t>Embedded LLM agents for triage, scribing, coding, no-show prediction, fraud detection.</w:t>
            </w:r>
          </w:p>
        </w:tc>
      </w:tr>
      <w:tr>
        <w:tc>
          <w:tcPr>
            <w:tcW w:type="dxa" w:w="2448"/>
          </w:tcPr>
          <w:p>
            <w:pPr>
              <w:spacing w:after="40"/>
            </w:pPr>
            <w:r>
              <w:rPr>
                <w:color w:val="333333"/>
                <w:sz w:val="20"/>
              </w:rPr>
              <w:t>Finance</w:t>
            </w:r>
          </w:p>
        </w:tc>
        <w:tc>
          <w:tcPr>
            <w:tcW w:type="dxa" w:w="7056"/>
          </w:tcPr>
          <w:p>
            <w:pPr>
              <w:spacing w:after="40"/>
            </w:pPr>
            <w:r>
              <w:rPr>
                <w:color w:val="333333"/>
                <w:sz w:val="20"/>
              </w:rPr>
              <w:t>True double-entry accounting, real-time Tally sync, hospital RCM, NABH-grade audit trail.</w:t>
            </w:r>
          </w:p>
        </w:tc>
      </w:tr>
      <w:tr>
        <w:tc>
          <w:tcPr>
            <w:tcW w:type="dxa" w:w="2448"/>
            <w:shd w:val="clear" w:color="auto" w:fill="F7F9FB"/>
          </w:tcPr>
          <w:p>
            <w:pPr>
              <w:spacing w:after="40"/>
            </w:pPr>
            <w:r>
              <w:rPr>
                <w:color w:val="333333"/>
                <w:sz w:val="20"/>
              </w:rPr>
              <w:t>Compliance</w:t>
            </w:r>
          </w:p>
        </w:tc>
        <w:tc>
          <w:tcPr>
            <w:tcW w:type="dxa" w:w="7056"/>
            <w:shd w:val="clear" w:color="auto" w:fill="F7F9FB"/>
          </w:tcPr>
          <w:p>
            <w:pPr>
              <w:spacing w:after="40"/>
            </w:pPr>
            <w:r>
              <w:rPr>
                <w:color w:val="333333"/>
                <w:sz w:val="20"/>
              </w:rPr>
              <w:t>NABH 651 objectives, ABDM, GDPR, HIPAA, IND-AS, GST + Sec 194J TDS, DPDP Act.</w:t>
            </w:r>
          </w:p>
        </w:tc>
      </w:tr>
    </w:tbl>
    <w:p>
      <w:pPr>
        <w:spacing w:after="40"/>
      </w:pPr>
    </w:p>
    <w:tbl>
      <w:tblPr>
        <w:tblW w:type="auto" w:w="0"/>
        <w:jc w:val="left"/>
        <w:tblLayout w:type="fixed"/>
        <w:tblLook w:firstColumn="1" w:firstRow="1" w:lastColumn="0" w:lastRow="0" w:noHBand="0" w:noVBand="1" w:val="04A0"/>
      </w:tblPr>
      <w:tblGrid>
        <w:gridCol w:w="9648"/>
      </w:tblGrid>
      <w:tr>
        <w:tc>
          <w:tcPr>
            <w:tcW w:type="dxa" w:w="9504"/>
            <w:shd w:val="clear" w:color="auto" w:fill="EEF2F6"/>
            <w:tcBorders>
              <w:top w:val="single" w:sz="8" w:space="0" w:color="E86A1F"/>
              <w:left w:val="single" w:sz="24" w:space="0" w:color="E86A1F"/>
              <w:bottom w:val="single" w:sz="8" w:space="0" w:color="E86A1F"/>
              <w:right w:val="single" w:sz="8" w:space="0" w:color="E86A1F"/>
            </w:tcBorders>
          </w:tcPr>
          <w:p>
            <w:pPr>
              <w:spacing w:after="40"/>
            </w:pPr>
            <w:r>
              <w:rPr>
                <w:b/>
                <w:color w:val="0B2A4A"/>
                <w:sz w:val="22"/>
              </w:rPr>
              <w:t>Rule</w:t>
            </w:r>
          </w:p>
          <w:p>
            <w:pPr>
              <w:spacing w:after="40"/>
            </w:pPr>
            <w:r>
              <w:rPr>
                <w:color w:val="333333"/>
                <w:sz w:val="20"/>
              </w:rPr>
              <w:t>Any module that does not hit all six axes is not industry-grade — it is a demo. Build to the bar.</w:t>
            </w:r>
          </w:p>
        </w:tc>
      </w:tr>
    </w:tbl>
    <w:p>
      <w:pPr>
        <w:spacing w:after="40"/>
      </w:pPr>
    </w:p>
    <w:p>
      <w:r>
        <w:br w:type="page"/>
      </w:r>
    </w:p>
    <w:p>
      <w:pPr>
        <w:keepNext/>
        <w:spacing w:before="360" w:after="160"/>
        <w:pBdr>
          <w:bottom w:val="single" w:sz="12" w:space="4" w:color="008496"/>
        </w:pBdr>
      </w:pPr>
      <w:r>
        <w:rPr>
          <w:b/>
          <w:color w:val="0B2A4A"/>
          <w:sz w:val="44"/>
        </w:rPr>
        <w:t>4. Module 1 — Patient Management</w:t>
      </w:r>
    </w:p>
    <w:p>
      <w:pPr>
        <w:keepNext/>
        <w:spacing w:before="280" w:after="120"/>
      </w:pPr>
      <w:r>
        <w:rPr>
          <w:b/>
          <w:color w:val="0B2A4A"/>
          <w:sz w:val="32"/>
        </w:rPr>
        <w:t>4.1 What this module owns</w:t>
      </w:r>
    </w:p>
    <w:p>
      <w:pPr>
        <w:spacing w:after="80" w:lineRule="auto" w:line="276"/>
      </w:pPr>
      <w:r>
        <w:rPr>
          <w:color w:val="333333"/>
          <w:sz w:val="22"/>
        </w:rPr>
        <w:t>Patient Management is the front door of the hospital. It owns the Master Patient Index (MPI), patient registration, demographics, ABHA/ABDM linking, identity verification, duplicate detection, consent capture, document upload, family linking, insurance association, and the lifecycle of a patient across visits, departments, and branches.</w:t>
      </w:r>
    </w:p>
    <w:p>
      <w:pPr>
        <w:keepNext/>
        <w:spacing w:before="280" w:after="120"/>
      </w:pPr>
      <w:r>
        <w:rPr>
          <w:b/>
          <w:color w:val="0B2A4A"/>
          <w:sz w:val="32"/>
        </w:rPr>
        <w:t>4.2 Industry-grade feature set</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168"/>
            <w:shd w:val="clear" w:color="auto" w:fill="0B2A4A"/>
          </w:tcPr>
          <w:p>
            <w:pPr>
              <w:spacing w:after="40"/>
            </w:pPr>
            <w:r>
              <w:rPr>
                <w:b/>
                <w:color w:val="FFFFFF"/>
                <w:sz w:val="21"/>
              </w:rPr>
              <w:t>Feature</w:t>
            </w:r>
          </w:p>
        </w:tc>
        <w:tc>
          <w:tcPr>
            <w:tcW w:type="dxa" w:w="6336"/>
            <w:shd w:val="clear" w:color="auto" w:fill="0B2A4A"/>
          </w:tcPr>
          <w:p>
            <w:pPr>
              <w:spacing w:after="40"/>
            </w:pPr>
            <w:r>
              <w:rPr>
                <w:b/>
                <w:color w:val="FFFFFF"/>
                <w:sz w:val="21"/>
              </w:rPr>
              <w:t>What it does</w:t>
            </w:r>
          </w:p>
        </w:tc>
      </w:tr>
      <w:tr>
        <w:tc>
          <w:tcPr>
            <w:tcW w:type="dxa" w:w="3168"/>
          </w:tcPr>
          <w:p>
            <w:pPr>
              <w:spacing w:after="40"/>
            </w:pPr>
            <w:r>
              <w:rPr>
                <w:color w:val="333333"/>
                <w:sz w:val="20"/>
              </w:rPr>
              <w:t>Master Patient Index (MPI)</w:t>
            </w:r>
          </w:p>
        </w:tc>
        <w:tc>
          <w:tcPr>
            <w:tcW w:type="dxa" w:w="6336"/>
          </w:tcPr>
          <w:p>
            <w:pPr>
              <w:spacing w:after="40"/>
            </w:pPr>
            <w:r>
              <w:rPr>
                <w:color w:val="333333"/>
                <w:sz w:val="20"/>
              </w:rPr>
              <w:t>Single patient identity across all branches with probabilistic + deterministic matching.</w:t>
            </w:r>
          </w:p>
        </w:tc>
      </w:tr>
      <w:tr>
        <w:tc>
          <w:tcPr>
            <w:tcW w:type="dxa" w:w="3168"/>
            <w:shd w:val="clear" w:color="auto" w:fill="F7F9FB"/>
          </w:tcPr>
          <w:p>
            <w:pPr>
              <w:spacing w:after="40"/>
            </w:pPr>
            <w:r>
              <w:rPr>
                <w:color w:val="333333"/>
                <w:sz w:val="20"/>
              </w:rPr>
              <w:t>Duplicate detection</w:t>
            </w:r>
          </w:p>
        </w:tc>
        <w:tc>
          <w:tcPr>
            <w:tcW w:type="dxa" w:w="6336"/>
            <w:shd w:val="clear" w:color="auto" w:fill="F7F9FB"/>
          </w:tcPr>
          <w:p>
            <w:pPr>
              <w:spacing w:after="40"/>
            </w:pPr>
            <w:r>
              <w:rPr>
                <w:color w:val="333333"/>
                <w:sz w:val="20"/>
              </w:rPr>
              <w:t>Soundex + ML-based fuzzy matching on name, DOB, phone, address, ABHA, Aadhaar.</w:t>
            </w:r>
          </w:p>
        </w:tc>
      </w:tr>
      <w:tr>
        <w:tc>
          <w:tcPr>
            <w:tcW w:type="dxa" w:w="3168"/>
          </w:tcPr>
          <w:p>
            <w:pPr>
              <w:spacing w:after="40"/>
            </w:pPr>
            <w:r>
              <w:rPr>
                <w:color w:val="333333"/>
                <w:sz w:val="20"/>
              </w:rPr>
              <w:t>ABHA / ABDM integration</w:t>
            </w:r>
          </w:p>
        </w:tc>
        <w:tc>
          <w:tcPr>
            <w:tcW w:type="dxa" w:w="6336"/>
          </w:tcPr>
          <w:p>
            <w:pPr>
              <w:spacing w:after="40"/>
            </w:pPr>
            <w:r>
              <w:rPr>
                <w:color w:val="333333"/>
                <w:sz w:val="20"/>
              </w:rPr>
              <w:t>Create / verify / link 14-digit ABHA ID with consent artifact (M2 / M3 modes).</w:t>
            </w:r>
          </w:p>
        </w:tc>
      </w:tr>
      <w:tr>
        <w:tc>
          <w:tcPr>
            <w:tcW w:type="dxa" w:w="3168"/>
            <w:shd w:val="clear" w:color="auto" w:fill="F7F9FB"/>
          </w:tcPr>
          <w:p>
            <w:pPr>
              <w:spacing w:after="40"/>
            </w:pPr>
            <w:r>
              <w:rPr>
                <w:color w:val="333333"/>
                <w:sz w:val="20"/>
              </w:rPr>
              <w:t>Identity verification</w:t>
            </w:r>
          </w:p>
        </w:tc>
        <w:tc>
          <w:tcPr>
            <w:tcW w:type="dxa" w:w="6336"/>
            <w:shd w:val="clear" w:color="auto" w:fill="F7F9FB"/>
          </w:tcPr>
          <w:p>
            <w:pPr>
              <w:spacing w:after="40"/>
            </w:pPr>
            <w:r>
              <w:rPr>
                <w:color w:val="333333"/>
                <w:sz w:val="20"/>
              </w:rPr>
              <w:t>Aadhaar (offline KYC), ABHA, passport, PAN, driving license, hospital photo capture.</w:t>
            </w:r>
          </w:p>
        </w:tc>
      </w:tr>
      <w:tr>
        <w:tc>
          <w:tcPr>
            <w:tcW w:type="dxa" w:w="3168"/>
          </w:tcPr>
          <w:p>
            <w:pPr>
              <w:spacing w:after="40"/>
            </w:pPr>
            <w:r>
              <w:rPr>
                <w:color w:val="333333"/>
                <w:sz w:val="20"/>
              </w:rPr>
              <w:t>Consent management</w:t>
            </w:r>
          </w:p>
        </w:tc>
        <w:tc>
          <w:tcPr>
            <w:tcW w:type="dxa" w:w="6336"/>
          </w:tcPr>
          <w:p>
            <w:pPr>
              <w:spacing w:after="40"/>
            </w:pPr>
            <w:r>
              <w:rPr>
                <w:color w:val="333333"/>
                <w:sz w:val="20"/>
              </w:rPr>
              <w:t>Granular, version-controlled, ABDM consent artifacts for sharing data with insurers, govt, partners.</w:t>
            </w:r>
          </w:p>
        </w:tc>
      </w:tr>
      <w:tr>
        <w:tc>
          <w:tcPr>
            <w:tcW w:type="dxa" w:w="3168"/>
            <w:shd w:val="clear" w:color="auto" w:fill="F7F9FB"/>
          </w:tcPr>
          <w:p>
            <w:pPr>
              <w:spacing w:after="40"/>
            </w:pPr>
            <w:r>
              <w:rPr>
                <w:color w:val="333333"/>
                <w:sz w:val="20"/>
              </w:rPr>
              <w:t>Family linking</w:t>
            </w:r>
          </w:p>
        </w:tc>
        <w:tc>
          <w:tcPr>
            <w:tcW w:type="dxa" w:w="6336"/>
            <w:shd w:val="clear" w:color="auto" w:fill="F7F9FB"/>
          </w:tcPr>
          <w:p>
            <w:pPr>
              <w:spacing w:after="40"/>
            </w:pPr>
            <w:r>
              <w:rPr>
                <w:color w:val="333333"/>
                <w:sz w:val="20"/>
              </w:rPr>
              <w:t>Spouse / child / dependent links for family billing, pediatric vaccinations, maternal records.</w:t>
            </w:r>
          </w:p>
        </w:tc>
      </w:tr>
      <w:tr>
        <w:tc>
          <w:tcPr>
            <w:tcW w:type="dxa" w:w="3168"/>
          </w:tcPr>
          <w:p>
            <w:pPr>
              <w:spacing w:after="40"/>
            </w:pPr>
            <w:r>
              <w:rPr>
                <w:color w:val="333333"/>
                <w:sz w:val="20"/>
              </w:rPr>
              <w:t>Insurance association</w:t>
            </w:r>
          </w:p>
        </w:tc>
        <w:tc>
          <w:tcPr>
            <w:tcW w:type="dxa" w:w="6336"/>
          </w:tcPr>
          <w:p>
            <w:pPr>
              <w:spacing w:after="40"/>
            </w:pPr>
            <w:r>
              <w:rPr>
                <w:color w:val="333333"/>
                <w:sz w:val="20"/>
              </w:rPr>
              <w:t>Multiple policies per patient, primary/secondary, PSU/CGHS/ESI/private — with auto-eligibility check.</w:t>
            </w:r>
          </w:p>
        </w:tc>
      </w:tr>
      <w:tr>
        <w:tc>
          <w:tcPr>
            <w:tcW w:type="dxa" w:w="3168"/>
            <w:shd w:val="clear" w:color="auto" w:fill="F7F9FB"/>
          </w:tcPr>
          <w:p>
            <w:pPr>
              <w:spacing w:after="40"/>
            </w:pPr>
            <w:r>
              <w:rPr>
                <w:color w:val="333333"/>
                <w:sz w:val="20"/>
              </w:rPr>
              <w:t>Patient portal &amp; mobile app</w:t>
            </w:r>
          </w:p>
        </w:tc>
        <w:tc>
          <w:tcPr>
            <w:tcW w:type="dxa" w:w="6336"/>
            <w:shd w:val="clear" w:color="auto" w:fill="F7F9FB"/>
          </w:tcPr>
          <w:p>
            <w:pPr>
              <w:spacing w:after="40"/>
            </w:pPr>
            <w:r>
              <w:rPr>
                <w:color w:val="333333"/>
                <w:sz w:val="20"/>
              </w:rPr>
              <w:t>Self-registration, document upload, appointment booking, lab reports, bills, e-prescriptions, telehealth.</w:t>
            </w:r>
          </w:p>
        </w:tc>
      </w:tr>
      <w:tr>
        <w:tc>
          <w:tcPr>
            <w:tcW w:type="dxa" w:w="3168"/>
          </w:tcPr>
          <w:p>
            <w:pPr>
              <w:spacing w:after="40"/>
            </w:pPr>
            <w:r>
              <w:rPr>
                <w:color w:val="333333"/>
                <w:sz w:val="20"/>
              </w:rPr>
              <w:t>Multi-language</w:t>
            </w:r>
          </w:p>
        </w:tc>
        <w:tc>
          <w:tcPr>
            <w:tcW w:type="dxa" w:w="6336"/>
          </w:tcPr>
          <w:p>
            <w:pPr>
              <w:spacing w:after="40"/>
            </w:pPr>
            <w:r>
              <w:rPr>
                <w:color w:val="333333"/>
                <w:sz w:val="20"/>
              </w:rPr>
              <w:t>Hindi, English + 10 regional languages for both backend records and patient-facing UI.</w:t>
            </w:r>
          </w:p>
        </w:tc>
      </w:tr>
      <w:tr>
        <w:tc>
          <w:tcPr>
            <w:tcW w:type="dxa" w:w="3168"/>
            <w:shd w:val="clear" w:color="auto" w:fill="F7F9FB"/>
          </w:tcPr>
          <w:p>
            <w:pPr>
              <w:spacing w:after="40"/>
            </w:pPr>
            <w:r>
              <w:rPr>
                <w:color w:val="333333"/>
                <w:sz w:val="20"/>
              </w:rPr>
              <w:t>Walk-in / Token / Appointment paths</w:t>
            </w:r>
          </w:p>
        </w:tc>
        <w:tc>
          <w:tcPr>
            <w:tcW w:type="dxa" w:w="6336"/>
            <w:shd w:val="clear" w:color="auto" w:fill="F7F9FB"/>
          </w:tcPr>
          <w:p>
            <w:pPr>
              <w:spacing w:after="40"/>
            </w:pPr>
            <w:r>
              <w:rPr>
                <w:color w:val="333333"/>
                <w:sz w:val="20"/>
              </w:rPr>
              <w:t>Three different registration flows with different SLA expectations.</w:t>
            </w:r>
          </w:p>
        </w:tc>
      </w:tr>
      <w:tr>
        <w:tc>
          <w:tcPr>
            <w:tcW w:type="dxa" w:w="3168"/>
          </w:tcPr>
          <w:p>
            <w:pPr>
              <w:spacing w:after="40"/>
            </w:pPr>
            <w:r>
              <w:rPr>
                <w:color w:val="333333"/>
                <w:sz w:val="20"/>
              </w:rPr>
              <w:t>VIP / corporate / package patients</w:t>
            </w:r>
          </w:p>
        </w:tc>
        <w:tc>
          <w:tcPr>
            <w:tcW w:type="dxa" w:w="6336"/>
          </w:tcPr>
          <w:p>
            <w:pPr>
              <w:spacing w:after="40"/>
            </w:pPr>
            <w:r>
              <w:rPr>
                <w:color w:val="333333"/>
                <w:sz w:val="20"/>
              </w:rPr>
              <w:t>Tagging + custom workflows + price book selection.</w:t>
            </w:r>
          </w:p>
        </w:tc>
      </w:tr>
      <w:tr>
        <w:tc>
          <w:tcPr>
            <w:tcW w:type="dxa" w:w="3168"/>
            <w:shd w:val="clear" w:color="auto" w:fill="F7F9FB"/>
          </w:tcPr>
          <w:p>
            <w:pPr>
              <w:spacing w:after="40"/>
            </w:pPr>
            <w:r>
              <w:rPr>
                <w:color w:val="333333"/>
                <w:sz w:val="20"/>
              </w:rPr>
              <w:t>Photo + biometric on registration</w:t>
            </w:r>
          </w:p>
        </w:tc>
        <w:tc>
          <w:tcPr>
            <w:tcW w:type="dxa" w:w="6336"/>
            <w:shd w:val="clear" w:color="auto" w:fill="F7F9FB"/>
          </w:tcPr>
          <w:p>
            <w:pPr>
              <w:spacing w:after="40"/>
            </w:pPr>
            <w:r>
              <w:rPr>
                <w:color w:val="333333"/>
                <w:sz w:val="20"/>
              </w:rPr>
              <w:t>Photo + fingerprint to defeat impersonation in cashless claims.</w:t>
            </w:r>
          </w:p>
        </w:tc>
      </w:tr>
    </w:tbl>
    <w:p>
      <w:pPr>
        <w:spacing w:after="40"/>
      </w:pPr>
    </w:p>
    <w:p>
      <w:pPr>
        <w:keepNext/>
        <w:spacing w:before="280" w:after="120"/>
      </w:pPr>
      <w:r>
        <w:rPr>
          <w:b/>
          <w:color w:val="0B2A4A"/>
          <w:sz w:val="32"/>
        </w:rPr>
        <w:t>4.3 Where competitors fail</w:t>
      </w:r>
    </w:p>
    <w:p>
      <w:pPr>
        <w:pStyle w:val="ListBullet"/>
        <w:spacing w:after="40"/>
        <w:ind w:left="360"/>
      </w:pPr>
      <w:r>
        <w:rPr>
          <w:color w:val="333333"/>
          <w:sz w:val="22"/>
        </w:rPr>
        <w:t>Most Indian HMSes do NOT have a real MPI — patient is recreated per branch and per visit. Massive duplication.</w:t>
      </w:r>
    </w:p>
    <w:p>
      <w:pPr>
        <w:pStyle w:val="ListBullet"/>
        <w:spacing w:after="40"/>
        <w:ind w:left="360"/>
      </w:pPr>
      <w:r>
        <w:rPr>
          <w:color w:val="333333"/>
          <w:sz w:val="22"/>
        </w:rPr>
        <w:t>ABHA/ABDM integration is half-built or absent in MocDoc, Practo, Insta, even some legacy enterprise products.</w:t>
      </w:r>
    </w:p>
    <w:p>
      <w:pPr>
        <w:pStyle w:val="ListBullet"/>
        <w:spacing w:after="40"/>
        <w:ind w:left="360"/>
      </w:pPr>
      <w:r>
        <w:rPr>
          <w:color w:val="333333"/>
          <w:sz w:val="22"/>
        </w:rPr>
        <w:t>Consent capture is rarely a first-class versioned object — it is a checkbox in a form.</w:t>
      </w:r>
    </w:p>
    <w:p>
      <w:pPr>
        <w:pStyle w:val="ListBullet"/>
        <w:spacing w:after="40"/>
        <w:ind w:left="360"/>
      </w:pPr>
      <w:r>
        <w:rPr>
          <w:color w:val="333333"/>
          <w:sz w:val="22"/>
        </w:rPr>
        <w:t>Patient portals are typically read-only — no self-upload, no telehealth, no rebooking, no pre-fill of medical history.</w:t>
      </w:r>
    </w:p>
    <w:p>
      <w:pPr>
        <w:pStyle w:val="ListBullet"/>
        <w:spacing w:after="40"/>
        <w:ind w:left="360"/>
      </w:pPr>
      <w:r>
        <w:rPr>
          <w:color w:val="333333"/>
          <w:sz w:val="22"/>
        </w:rPr>
        <w:t>Almost no system supports duplicate detection with ML — duplicates pile up and corrupt analytics.</w:t>
      </w:r>
    </w:p>
    <w:p>
      <w:pPr>
        <w:keepNext/>
        <w:spacing w:before="280" w:after="120"/>
      </w:pPr>
      <w:r>
        <w:rPr>
          <w:b/>
          <w:color w:val="0B2A4A"/>
          <w:sz w:val="32"/>
        </w:rPr>
        <w:t>4.4 HospitalOS differentiators</w:t>
      </w:r>
    </w:p>
    <w:p>
      <w:pPr>
        <w:pStyle w:val="ListBullet"/>
        <w:spacing w:after="40"/>
        <w:ind w:left="360"/>
      </w:pPr>
      <w:r>
        <w:rPr>
          <w:color w:val="333333"/>
          <w:sz w:val="22"/>
        </w:rPr>
        <w:t>ABDM-native from day one — every patient gets an ABHA, every visit has an ABDM consent artifact.</w:t>
      </w:r>
    </w:p>
    <w:p>
      <w:pPr>
        <w:pStyle w:val="ListBullet"/>
        <w:spacing w:after="40"/>
        <w:ind w:left="360"/>
      </w:pPr>
      <w:r>
        <w:rPr>
          <w:color w:val="333333"/>
          <w:sz w:val="22"/>
        </w:rPr>
        <w:t>AI-driven duplicate merge with confidence scoring + human-in-the-loop approval.</w:t>
      </w:r>
    </w:p>
    <w:p>
      <w:pPr>
        <w:pStyle w:val="ListBullet"/>
        <w:spacing w:after="40"/>
        <w:ind w:left="360"/>
      </w:pPr>
      <w:r>
        <w:rPr>
          <w:color w:val="333333"/>
          <w:sz w:val="22"/>
        </w:rPr>
        <w:t>Patient identity = single object across the chain. The patient is the same in Mumbai and Chennai.</w:t>
      </w:r>
    </w:p>
    <w:p>
      <w:pPr>
        <w:pStyle w:val="ListBullet"/>
        <w:spacing w:after="40"/>
        <w:ind w:left="360"/>
      </w:pPr>
      <w:r>
        <w:rPr>
          <w:color w:val="333333"/>
          <w:sz w:val="22"/>
        </w:rPr>
        <w:t>Patient mobile app with uploads, telehealth, family management, e-prescriptions, lab reports, and bill pay.</w:t>
      </w:r>
    </w:p>
    <w:p>
      <w:pPr>
        <w:pStyle w:val="ListBullet"/>
        <w:spacing w:after="40"/>
        <w:ind w:left="360"/>
      </w:pPr>
      <w:r>
        <w:rPr>
          <w:color w:val="333333"/>
          <w:sz w:val="22"/>
        </w:rPr>
        <w:t>Granular consent — patient can revoke a specific document share via the app.</w:t>
      </w:r>
    </w:p>
    <w:p>
      <w:pPr>
        <w:pStyle w:val="ListBullet"/>
        <w:spacing w:after="40"/>
        <w:ind w:left="360"/>
      </w:pPr>
      <w:r>
        <w:rPr>
          <w:color w:val="333333"/>
          <w:sz w:val="22"/>
        </w:rPr>
        <w:t>Risk flags (allergies, fall risk, isolation, infection, NEWS score) propagate from EMR to nursing and pharmacy.</w:t>
      </w:r>
    </w:p>
    <w:tbl>
      <w:tblPr>
        <w:tblW w:type="auto" w:w="0"/>
        <w:jc w:val="left"/>
        <w:tblLayout w:type="fixed"/>
        <w:tblLook w:firstColumn="1" w:firstRow="1" w:lastColumn="0" w:lastRow="0" w:noHBand="0" w:noVBand="1" w:val="04A0"/>
      </w:tblPr>
      <w:tblGrid>
        <w:gridCol w:w="9648"/>
      </w:tblGrid>
      <w:tr>
        <w:tc>
          <w:tcPr>
            <w:tcW w:type="dxa" w:w="9504"/>
            <w:shd w:val="clear" w:color="auto" w:fill="E0F2F4"/>
            <w:tcBorders>
              <w:top w:val="single" w:sz="8" w:space="0" w:color="008496"/>
              <w:left w:val="single" w:sz="24" w:space="0" w:color="008496"/>
              <w:bottom w:val="single" w:sz="8" w:space="0" w:color="008496"/>
              <w:right w:val="single" w:sz="8" w:space="0" w:color="008496"/>
            </w:tcBorders>
          </w:tcPr>
          <w:p>
            <w:pPr>
              <w:spacing w:after="40"/>
            </w:pPr>
            <w:r>
              <w:rPr>
                <w:b/>
                <w:color w:val="0B2A4A"/>
                <w:sz w:val="22"/>
              </w:rPr>
              <w:t>Why this matters</w:t>
            </w:r>
          </w:p>
          <w:p>
            <w:pPr>
              <w:spacing w:after="40"/>
            </w:pPr>
            <w:r>
              <w:rPr>
                <w:color w:val="333333"/>
                <w:sz w:val="20"/>
              </w:rPr>
              <w:t>Patient identity errors cause ~10% of hospital revenue leakage and a meaningful fraction of medical errors. A real MPI is one of the highest-ROI components of the entire HMS — and it is almost never done well in India today.</w:t>
            </w:r>
          </w:p>
        </w:tc>
      </w:tr>
    </w:tbl>
    <w:p>
      <w:pPr>
        <w:spacing w:after="40"/>
      </w:pPr>
    </w:p>
    <w:p>
      <w:r>
        <w:br w:type="page"/>
      </w:r>
    </w:p>
    <w:p>
      <w:pPr>
        <w:keepNext/>
        <w:spacing w:before="360" w:after="160"/>
        <w:pBdr>
          <w:bottom w:val="single" w:sz="12" w:space="4" w:color="008496"/>
        </w:pBdr>
      </w:pPr>
      <w:r>
        <w:rPr>
          <w:b/>
          <w:color w:val="0B2A4A"/>
          <w:sz w:val="44"/>
        </w:rPr>
        <w:t>5. Module 2 — Appointment, OPD &amp; IPD</w:t>
      </w:r>
    </w:p>
    <w:p>
      <w:pPr>
        <w:keepNext/>
        <w:spacing w:before="280" w:after="120"/>
      </w:pPr>
      <w:r>
        <w:rPr>
          <w:b/>
          <w:color w:val="0B2A4A"/>
          <w:sz w:val="32"/>
        </w:rPr>
        <w:t>5.1 What this module owns</w:t>
      </w:r>
    </w:p>
    <w:p>
      <w:pPr>
        <w:spacing w:after="80" w:lineRule="auto" w:line="276"/>
      </w:pPr>
      <w:r>
        <w:rPr>
          <w:color w:val="333333"/>
          <w:sz w:val="22"/>
        </w:rPr>
        <w:t>Appointment scheduling, queue management, OPD consultation flow, doctor schedules, room/chair allocation, IPD admission, bed management, ward transfers, attendant passes, billing trigger points, discharge planning, and the orchestration of all downstream modules (lab orders, radiology, pharmacy, OT booking) tied to a visit or admission.</w:t>
      </w:r>
    </w:p>
    <w:p>
      <w:pPr>
        <w:keepNext/>
        <w:spacing w:before="280" w:after="120"/>
      </w:pPr>
      <w:r>
        <w:rPr>
          <w:b/>
          <w:color w:val="0B2A4A"/>
          <w:sz w:val="32"/>
        </w:rPr>
        <w:t>5.2 Appointment &amp; OPD — industry-grade feature set</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168"/>
            <w:shd w:val="clear" w:color="auto" w:fill="0B2A4A"/>
          </w:tcPr>
          <w:p>
            <w:pPr>
              <w:spacing w:after="40"/>
            </w:pPr>
            <w:r>
              <w:rPr>
                <w:b/>
                <w:color w:val="FFFFFF"/>
                <w:sz w:val="21"/>
              </w:rPr>
              <w:t>Feature</w:t>
            </w:r>
          </w:p>
        </w:tc>
        <w:tc>
          <w:tcPr>
            <w:tcW w:type="dxa" w:w="6336"/>
            <w:shd w:val="clear" w:color="auto" w:fill="0B2A4A"/>
          </w:tcPr>
          <w:p>
            <w:pPr>
              <w:spacing w:after="40"/>
            </w:pPr>
            <w:r>
              <w:rPr>
                <w:b/>
                <w:color w:val="FFFFFF"/>
                <w:sz w:val="21"/>
              </w:rPr>
              <w:t>What it does</w:t>
            </w:r>
          </w:p>
        </w:tc>
      </w:tr>
      <w:tr>
        <w:tc>
          <w:tcPr>
            <w:tcW w:type="dxa" w:w="3168"/>
          </w:tcPr>
          <w:p>
            <w:pPr>
              <w:spacing w:after="40"/>
            </w:pPr>
            <w:r>
              <w:rPr>
                <w:color w:val="333333"/>
                <w:sz w:val="20"/>
              </w:rPr>
              <w:t>Multi-channel booking</w:t>
            </w:r>
          </w:p>
        </w:tc>
        <w:tc>
          <w:tcPr>
            <w:tcW w:type="dxa" w:w="6336"/>
          </w:tcPr>
          <w:p>
            <w:pPr>
              <w:spacing w:after="40"/>
            </w:pPr>
            <w:r>
              <w:rPr>
                <w:color w:val="333333"/>
                <w:sz w:val="20"/>
              </w:rPr>
              <w:t>Front desk, web portal, mobile app, WhatsApp, IVR, third-party (Practo, Justdial).</w:t>
            </w:r>
          </w:p>
        </w:tc>
      </w:tr>
      <w:tr>
        <w:tc>
          <w:tcPr>
            <w:tcW w:type="dxa" w:w="3168"/>
            <w:shd w:val="clear" w:color="auto" w:fill="F7F9FB"/>
          </w:tcPr>
          <w:p>
            <w:pPr>
              <w:spacing w:after="40"/>
            </w:pPr>
            <w:r>
              <w:rPr>
                <w:color w:val="333333"/>
                <w:sz w:val="20"/>
              </w:rPr>
              <w:t>Doctor schedule engine</w:t>
            </w:r>
          </w:p>
        </w:tc>
        <w:tc>
          <w:tcPr>
            <w:tcW w:type="dxa" w:w="6336"/>
            <w:shd w:val="clear" w:color="auto" w:fill="F7F9FB"/>
          </w:tcPr>
          <w:p>
            <w:pPr>
              <w:spacing w:after="40"/>
            </w:pPr>
            <w:r>
              <w:rPr>
                <w:color w:val="333333"/>
                <w:sz w:val="20"/>
              </w:rPr>
              <w:t>Recurring slots, leaves, OT blocks, surgery days, emergency overrides, locum coverage.</w:t>
            </w:r>
          </w:p>
        </w:tc>
      </w:tr>
      <w:tr>
        <w:tc>
          <w:tcPr>
            <w:tcW w:type="dxa" w:w="3168"/>
          </w:tcPr>
          <w:p>
            <w:pPr>
              <w:spacing w:after="40"/>
            </w:pPr>
            <w:r>
              <w:rPr>
                <w:color w:val="333333"/>
                <w:sz w:val="20"/>
              </w:rPr>
              <w:t>Smart slot allocation</w:t>
            </w:r>
          </w:p>
        </w:tc>
        <w:tc>
          <w:tcPr>
            <w:tcW w:type="dxa" w:w="6336"/>
          </w:tcPr>
          <w:p>
            <w:pPr>
              <w:spacing w:after="40"/>
            </w:pPr>
            <w:r>
              <w:rPr>
                <w:color w:val="333333"/>
                <w:sz w:val="20"/>
              </w:rPr>
              <w:t>Honors specialty, sub-specialty, language, gender preference, follow-up vs new.</w:t>
            </w:r>
          </w:p>
        </w:tc>
      </w:tr>
      <w:tr>
        <w:tc>
          <w:tcPr>
            <w:tcW w:type="dxa" w:w="3168"/>
            <w:shd w:val="clear" w:color="auto" w:fill="F7F9FB"/>
          </w:tcPr>
          <w:p>
            <w:pPr>
              <w:spacing w:after="40"/>
            </w:pPr>
            <w:r>
              <w:rPr>
                <w:color w:val="333333"/>
                <w:sz w:val="20"/>
              </w:rPr>
              <w:t>No-show prediction</w:t>
            </w:r>
          </w:p>
        </w:tc>
        <w:tc>
          <w:tcPr>
            <w:tcW w:type="dxa" w:w="6336"/>
            <w:shd w:val="clear" w:color="auto" w:fill="F7F9FB"/>
          </w:tcPr>
          <w:p>
            <w:pPr>
              <w:spacing w:after="40"/>
            </w:pPr>
            <w:r>
              <w:rPr>
                <w:color w:val="333333"/>
                <w:sz w:val="20"/>
              </w:rPr>
              <w:t>ML model on historical no-show rate; auto-overbook high-risk slots.</w:t>
            </w:r>
          </w:p>
        </w:tc>
      </w:tr>
      <w:tr>
        <w:tc>
          <w:tcPr>
            <w:tcW w:type="dxa" w:w="3168"/>
          </w:tcPr>
          <w:p>
            <w:pPr>
              <w:spacing w:after="40"/>
            </w:pPr>
            <w:r>
              <w:rPr>
                <w:color w:val="333333"/>
                <w:sz w:val="20"/>
              </w:rPr>
              <w:t>Queue &amp; token management</w:t>
            </w:r>
          </w:p>
        </w:tc>
        <w:tc>
          <w:tcPr>
            <w:tcW w:type="dxa" w:w="6336"/>
          </w:tcPr>
          <w:p>
            <w:pPr>
              <w:spacing w:after="40"/>
            </w:pPr>
            <w:r>
              <w:rPr>
                <w:color w:val="333333"/>
                <w:sz w:val="20"/>
              </w:rPr>
              <w:t>Live token board, SMS/WhatsApp 'you are 3rd in line', queue auto-rebalance.</w:t>
            </w:r>
          </w:p>
        </w:tc>
      </w:tr>
      <w:tr>
        <w:tc>
          <w:tcPr>
            <w:tcW w:type="dxa" w:w="3168"/>
            <w:shd w:val="clear" w:color="auto" w:fill="F7F9FB"/>
          </w:tcPr>
          <w:p>
            <w:pPr>
              <w:spacing w:after="40"/>
            </w:pPr>
            <w:r>
              <w:rPr>
                <w:color w:val="333333"/>
                <w:sz w:val="20"/>
              </w:rPr>
              <w:t>Multi-resource booking</w:t>
            </w:r>
          </w:p>
        </w:tc>
        <w:tc>
          <w:tcPr>
            <w:tcW w:type="dxa" w:w="6336"/>
            <w:shd w:val="clear" w:color="auto" w:fill="F7F9FB"/>
          </w:tcPr>
          <w:p>
            <w:pPr>
              <w:spacing w:after="40"/>
            </w:pPr>
            <w:r>
              <w:rPr>
                <w:color w:val="333333"/>
                <w:sz w:val="20"/>
              </w:rPr>
              <w:t>Doctor + room + equipment + assistant — single transaction.</w:t>
            </w:r>
          </w:p>
        </w:tc>
      </w:tr>
      <w:tr>
        <w:tc>
          <w:tcPr>
            <w:tcW w:type="dxa" w:w="3168"/>
          </w:tcPr>
          <w:p>
            <w:pPr>
              <w:spacing w:after="40"/>
            </w:pPr>
            <w:r>
              <w:rPr>
                <w:color w:val="333333"/>
                <w:sz w:val="20"/>
              </w:rPr>
              <w:t>Telehealth slots</w:t>
            </w:r>
          </w:p>
        </w:tc>
        <w:tc>
          <w:tcPr>
            <w:tcW w:type="dxa" w:w="6336"/>
          </w:tcPr>
          <w:p>
            <w:pPr>
              <w:spacing w:after="40"/>
            </w:pPr>
            <w:r>
              <w:rPr>
                <w:color w:val="333333"/>
                <w:sz w:val="20"/>
              </w:rPr>
              <w:t>Same calendar, video room auto-provisioned, e-prescription at end.</w:t>
            </w:r>
          </w:p>
        </w:tc>
      </w:tr>
      <w:tr>
        <w:tc>
          <w:tcPr>
            <w:tcW w:type="dxa" w:w="3168"/>
            <w:shd w:val="clear" w:color="auto" w:fill="F7F9FB"/>
          </w:tcPr>
          <w:p>
            <w:pPr>
              <w:spacing w:after="40"/>
            </w:pPr>
            <w:r>
              <w:rPr>
                <w:color w:val="333333"/>
                <w:sz w:val="20"/>
              </w:rPr>
              <w:t>Insurance pre-authorization</w:t>
            </w:r>
          </w:p>
        </w:tc>
        <w:tc>
          <w:tcPr>
            <w:tcW w:type="dxa" w:w="6336"/>
            <w:shd w:val="clear" w:color="auto" w:fill="F7F9FB"/>
          </w:tcPr>
          <w:p>
            <w:pPr>
              <w:spacing w:after="40"/>
            </w:pPr>
            <w:r>
              <w:rPr>
                <w:color w:val="333333"/>
                <w:sz w:val="20"/>
              </w:rPr>
              <w:t>TPA pre-auth check before appointment confirmation for cashless cases.</w:t>
            </w:r>
          </w:p>
        </w:tc>
      </w:tr>
      <w:tr>
        <w:tc>
          <w:tcPr>
            <w:tcW w:type="dxa" w:w="3168"/>
          </w:tcPr>
          <w:p>
            <w:pPr>
              <w:spacing w:after="40"/>
            </w:pPr>
            <w:r>
              <w:rPr>
                <w:color w:val="333333"/>
                <w:sz w:val="20"/>
              </w:rPr>
              <w:t>Self check-in kiosk</w:t>
            </w:r>
          </w:p>
        </w:tc>
        <w:tc>
          <w:tcPr>
            <w:tcW w:type="dxa" w:w="6336"/>
          </w:tcPr>
          <w:p>
            <w:pPr>
              <w:spacing w:after="40"/>
            </w:pPr>
            <w:r>
              <w:rPr>
                <w:color w:val="333333"/>
                <w:sz w:val="20"/>
              </w:rPr>
              <w:t>QR-based, auto-generates token, prints OPD slip, no front-desk wait.</w:t>
            </w:r>
          </w:p>
        </w:tc>
      </w:tr>
      <w:tr>
        <w:tc>
          <w:tcPr>
            <w:tcW w:type="dxa" w:w="3168"/>
            <w:shd w:val="clear" w:color="auto" w:fill="F7F9FB"/>
          </w:tcPr>
          <w:p>
            <w:pPr>
              <w:spacing w:after="40"/>
            </w:pPr>
            <w:r>
              <w:rPr>
                <w:color w:val="333333"/>
                <w:sz w:val="20"/>
              </w:rPr>
              <w:t>Cancellations &amp; rescheduling</w:t>
            </w:r>
          </w:p>
        </w:tc>
        <w:tc>
          <w:tcPr>
            <w:tcW w:type="dxa" w:w="6336"/>
            <w:shd w:val="clear" w:color="auto" w:fill="F7F9FB"/>
          </w:tcPr>
          <w:p>
            <w:pPr>
              <w:spacing w:after="40"/>
            </w:pPr>
            <w:r>
              <w:rPr>
                <w:color w:val="333333"/>
                <w:sz w:val="20"/>
              </w:rPr>
              <w:t>Self-serve from app + automatic waitlist promotion.</w:t>
            </w:r>
          </w:p>
        </w:tc>
      </w:tr>
    </w:tbl>
    <w:p>
      <w:pPr>
        <w:spacing w:after="40"/>
      </w:pPr>
    </w:p>
    <w:p>
      <w:pPr>
        <w:keepNext/>
        <w:spacing w:before="280" w:after="120"/>
      </w:pPr>
      <w:r>
        <w:rPr>
          <w:b/>
          <w:color w:val="0B2A4A"/>
          <w:sz w:val="32"/>
        </w:rPr>
        <w:t>5.3 IPD — industry-grade feature set</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168"/>
            <w:shd w:val="clear" w:color="auto" w:fill="0B2A4A"/>
          </w:tcPr>
          <w:p>
            <w:pPr>
              <w:spacing w:after="40"/>
            </w:pPr>
            <w:r>
              <w:rPr>
                <w:b/>
                <w:color w:val="FFFFFF"/>
                <w:sz w:val="21"/>
              </w:rPr>
              <w:t>Feature</w:t>
            </w:r>
          </w:p>
        </w:tc>
        <w:tc>
          <w:tcPr>
            <w:tcW w:type="dxa" w:w="6336"/>
            <w:shd w:val="clear" w:color="auto" w:fill="0B2A4A"/>
          </w:tcPr>
          <w:p>
            <w:pPr>
              <w:spacing w:after="40"/>
            </w:pPr>
            <w:r>
              <w:rPr>
                <w:b/>
                <w:color w:val="FFFFFF"/>
                <w:sz w:val="21"/>
              </w:rPr>
              <w:t>What it does</w:t>
            </w:r>
          </w:p>
        </w:tc>
      </w:tr>
      <w:tr>
        <w:tc>
          <w:tcPr>
            <w:tcW w:type="dxa" w:w="3168"/>
          </w:tcPr>
          <w:p>
            <w:pPr>
              <w:spacing w:after="40"/>
            </w:pPr>
            <w:r>
              <w:rPr>
                <w:color w:val="333333"/>
                <w:sz w:val="20"/>
              </w:rPr>
              <w:t>Bed management board</w:t>
            </w:r>
          </w:p>
        </w:tc>
        <w:tc>
          <w:tcPr>
            <w:tcW w:type="dxa" w:w="6336"/>
          </w:tcPr>
          <w:p>
            <w:pPr>
              <w:spacing w:after="40"/>
            </w:pPr>
            <w:r>
              <w:rPr>
                <w:color w:val="333333"/>
                <w:sz w:val="20"/>
              </w:rPr>
              <w:t>Real-time map of every bed, every ward, every branch, with status (available, occupied, cleaning, blocked, isolation).</w:t>
            </w:r>
          </w:p>
        </w:tc>
      </w:tr>
      <w:tr>
        <w:tc>
          <w:tcPr>
            <w:tcW w:type="dxa" w:w="3168"/>
            <w:shd w:val="clear" w:color="auto" w:fill="F7F9FB"/>
          </w:tcPr>
          <w:p>
            <w:pPr>
              <w:spacing w:after="40"/>
            </w:pPr>
            <w:r>
              <w:rPr>
                <w:color w:val="333333"/>
                <w:sz w:val="20"/>
              </w:rPr>
              <w:t>Admission workflow</w:t>
            </w:r>
          </w:p>
        </w:tc>
        <w:tc>
          <w:tcPr>
            <w:tcW w:type="dxa" w:w="6336"/>
            <w:shd w:val="clear" w:color="auto" w:fill="F7F9FB"/>
          </w:tcPr>
          <w:p>
            <w:pPr>
              <w:spacing w:after="40"/>
            </w:pPr>
            <w:r>
              <w:rPr>
                <w:color w:val="333333"/>
                <w:sz w:val="20"/>
              </w:rPr>
              <w:t>Pre-admission, admission, deposit, attendant pass, ID band, EMR creation, billing meter start.</w:t>
            </w:r>
          </w:p>
        </w:tc>
      </w:tr>
      <w:tr>
        <w:tc>
          <w:tcPr>
            <w:tcW w:type="dxa" w:w="3168"/>
          </w:tcPr>
          <w:p>
            <w:pPr>
              <w:spacing w:after="40"/>
            </w:pPr>
            <w:r>
              <w:rPr>
                <w:color w:val="333333"/>
                <w:sz w:val="20"/>
              </w:rPr>
              <w:t>Bed allocation algorithm</w:t>
            </w:r>
          </w:p>
        </w:tc>
        <w:tc>
          <w:tcPr>
            <w:tcW w:type="dxa" w:w="6336"/>
          </w:tcPr>
          <w:p>
            <w:pPr>
              <w:spacing w:after="40"/>
            </w:pPr>
            <w:r>
              <w:rPr>
                <w:color w:val="333333"/>
                <w:sz w:val="20"/>
              </w:rPr>
              <w:t>Rules engine: gender, isolation, IC, surgical/medical, bariatric, paying class, doctor preference.</w:t>
            </w:r>
          </w:p>
        </w:tc>
      </w:tr>
      <w:tr>
        <w:tc>
          <w:tcPr>
            <w:tcW w:type="dxa" w:w="3168"/>
            <w:shd w:val="clear" w:color="auto" w:fill="F7F9FB"/>
          </w:tcPr>
          <w:p>
            <w:pPr>
              <w:spacing w:after="40"/>
            </w:pPr>
            <w:r>
              <w:rPr>
                <w:color w:val="333333"/>
                <w:sz w:val="20"/>
              </w:rPr>
              <w:t>Surge / capacity planning</w:t>
            </w:r>
          </w:p>
        </w:tc>
        <w:tc>
          <w:tcPr>
            <w:tcW w:type="dxa" w:w="6336"/>
            <w:shd w:val="clear" w:color="auto" w:fill="F7F9FB"/>
          </w:tcPr>
          <w:p>
            <w:pPr>
              <w:spacing w:after="40"/>
            </w:pPr>
            <w:r>
              <w:rPr>
                <w:color w:val="333333"/>
                <w:sz w:val="20"/>
              </w:rPr>
              <w:t>Predicts admissions 24/72 hours out and pre-allocates beds — Apollo achieves 98% surge reduction.</w:t>
            </w:r>
          </w:p>
        </w:tc>
      </w:tr>
      <w:tr>
        <w:tc>
          <w:tcPr>
            <w:tcW w:type="dxa" w:w="3168"/>
          </w:tcPr>
          <w:p>
            <w:pPr>
              <w:spacing w:after="40"/>
            </w:pPr>
            <w:r>
              <w:rPr>
                <w:color w:val="333333"/>
                <w:sz w:val="20"/>
              </w:rPr>
              <w:t>Ward transfers</w:t>
            </w:r>
          </w:p>
        </w:tc>
        <w:tc>
          <w:tcPr>
            <w:tcW w:type="dxa" w:w="6336"/>
          </w:tcPr>
          <w:p>
            <w:pPr>
              <w:spacing w:after="40"/>
            </w:pPr>
            <w:r>
              <w:rPr>
                <w:color w:val="333333"/>
                <w:sz w:val="20"/>
              </w:rPr>
              <w:t>Inter-ward, inter-class, ICU step-down/step-up; full audit and billing recalc.</w:t>
            </w:r>
          </w:p>
        </w:tc>
      </w:tr>
      <w:tr>
        <w:tc>
          <w:tcPr>
            <w:tcW w:type="dxa" w:w="3168"/>
            <w:shd w:val="clear" w:color="auto" w:fill="F7F9FB"/>
          </w:tcPr>
          <w:p>
            <w:pPr>
              <w:spacing w:after="40"/>
            </w:pPr>
            <w:r>
              <w:rPr>
                <w:color w:val="333333"/>
                <w:sz w:val="20"/>
              </w:rPr>
              <w:t>OT booking</w:t>
            </w:r>
          </w:p>
        </w:tc>
        <w:tc>
          <w:tcPr>
            <w:tcW w:type="dxa" w:w="6336"/>
            <w:shd w:val="clear" w:color="auto" w:fill="F7F9FB"/>
          </w:tcPr>
          <w:p>
            <w:pPr>
              <w:spacing w:after="40"/>
            </w:pPr>
            <w:r>
              <w:rPr>
                <w:color w:val="333333"/>
                <w:sz w:val="20"/>
              </w:rPr>
              <w:t>Surgery scheduling tied to surgeon, anaesthetist, OT team, equipment, implants, blood reservation.</w:t>
            </w:r>
          </w:p>
        </w:tc>
      </w:tr>
      <w:tr>
        <w:tc>
          <w:tcPr>
            <w:tcW w:type="dxa" w:w="3168"/>
          </w:tcPr>
          <w:p>
            <w:pPr>
              <w:spacing w:after="40"/>
            </w:pPr>
            <w:r>
              <w:rPr>
                <w:color w:val="333333"/>
                <w:sz w:val="20"/>
              </w:rPr>
              <w:t>ICU module</w:t>
            </w:r>
          </w:p>
        </w:tc>
        <w:tc>
          <w:tcPr>
            <w:tcW w:type="dxa" w:w="6336"/>
          </w:tcPr>
          <w:p>
            <w:pPr>
              <w:spacing w:after="40"/>
            </w:pPr>
            <w:r>
              <w:rPr>
                <w:color w:val="333333"/>
                <w:sz w:val="20"/>
              </w:rPr>
              <w:t>Vitals integration with monitors, ventilator settings, infusion pumps, scoring (APACHE II, SOFA, NEWS).</w:t>
            </w:r>
          </w:p>
        </w:tc>
      </w:tr>
      <w:tr>
        <w:tc>
          <w:tcPr>
            <w:tcW w:type="dxa" w:w="3168"/>
            <w:shd w:val="clear" w:color="auto" w:fill="F7F9FB"/>
          </w:tcPr>
          <w:p>
            <w:pPr>
              <w:spacing w:after="40"/>
            </w:pPr>
            <w:r>
              <w:rPr>
                <w:color w:val="333333"/>
                <w:sz w:val="20"/>
              </w:rPr>
              <w:t>Nursing workflow</w:t>
            </w:r>
          </w:p>
        </w:tc>
        <w:tc>
          <w:tcPr>
            <w:tcW w:type="dxa" w:w="6336"/>
            <w:shd w:val="clear" w:color="auto" w:fill="F7F9FB"/>
          </w:tcPr>
          <w:p>
            <w:pPr>
              <w:spacing w:after="40"/>
            </w:pPr>
            <w:r>
              <w:rPr>
                <w:color w:val="333333"/>
                <w:sz w:val="20"/>
              </w:rPr>
              <w:t>Care plans, medication administration (BCMA), I/O charts, fall risk, pressure ulcer risk, handover notes.</w:t>
            </w:r>
          </w:p>
        </w:tc>
      </w:tr>
      <w:tr>
        <w:tc>
          <w:tcPr>
            <w:tcW w:type="dxa" w:w="3168"/>
          </w:tcPr>
          <w:p>
            <w:pPr>
              <w:spacing w:after="40"/>
            </w:pPr>
            <w:r>
              <w:rPr>
                <w:color w:val="333333"/>
                <w:sz w:val="20"/>
              </w:rPr>
              <w:t>Discharge planning</w:t>
            </w:r>
          </w:p>
        </w:tc>
        <w:tc>
          <w:tcPr>
            <w:tcW w:type="dxa" w:w="6336"/>
          </w:tcPr>
          <w:p>
            <w:pPr>
              <w:spacing w:after="40"/>
            </w:pPr>
            <w:r>
              <w:rPr>
                <w:color w:val="333333"/>
                <w:sz w:val="20"/>
              </w:rPr>
              <w:t>Bed forecast, summary auto-draft, drug reconciliation, follow-up booking, transport coordination.</w:t>
            </w:r>
          </w:p>
        </w:tc>
      </w:tr>
      <w:tr>
        <w:tc>
          <w:tcPr>
            <w:tcW w:type="dxa" w:w="3168"/>
            <w:shd w:val="clear" w:color="auto" w:fill="F7F9FB"/>
          </w:tcPr>
          <w:p>
            <w:pPr>
              <w:spacing w:after="40"/>
            </w:pPr>
            <w:r>
              <w:rPr>
                <w:color w:val="333333"/>
                <w:sz w:val="20"/>
              </w:rPr>
              <w:t>Visitor management</w:t>
            </w:r>
          </w:p>
        </w:tc>
        <w:tc>
          <w:tcPr>
            <w:tcW w:type="dxa" w:w="6336"/>
            <w:shd w:val="clear" w:color="auto" w:fill="F7F9FB"/>
          </w:tcPr>
          <w:p>
            <w:pPr>
              <w:spacing w:after="40"/>
            </w:pPr>
            <w:r>
              <w:rPr>
                <w:color w:val="333333"/>
                <w:sz w:val="20"/>
              </w:rPr>
              <w:t>Passes, time tracking, restricted-access wards (NICU, ICU, isolation).</w:t>
            </w:r>
          </w:p>
        </w:tc>
      </w:tr>
      <w:tr>
        <w:tc>
          <w:tcPr>
            <w:tcW w:type="dxa" w:w="3168"/>
          </w:tcPr>
          <w:p>
            <w:pPr>
              <w:spacing w:after="40"/>
            </w:pPr>
            <w:r>
              <w:rPr>
                <w:color w:val="333333"/>
                <w:sz w:val="20"/>
              </w:rPr>
              <w:t>Mortuary / death management</w:t>
            </w:r>
          </w:p>
        </w:tc>
        <w:tc>
          <w:tcPr>
            <w:tcW w:type="dxa" w:w="6336"/>
          </w:tcPr>
          <w:p>
            <w:pPr>
              <w:spacing w:after="40"/>
            </w:pPr>
            <w:r>
              <w:rPr>
                <w:color w:val="333333"/>
                <w:sz w:val="20"/>
              </w:rPr>
              <w:t>Death certificate, body release, religious considerations, police case workflow.</w:t>
            </w:r>
          </w:p>
        </w:tc>
      </w:tr>
    </w:tbl>
    <w:p>
      <w:pPr>
        <w:spacing w:after="40"/>
      </w:pPr>
    </w:p>
    <w:p>
      <w:pPr>
        <w:keepNext/>
        <w:spacing w:before="280" w:after="120"/>
      </w:pPr>
      <w:r>
        <w:rPr>
          <w:b/>
          <w:color w:val="0B2A4A"/>
          <w:sz w:val="32"/>
        </w:rPr>
        <w:t>5.4 Where competitors fail</w:t>
      </w:r>
    </w:p>
    <w:p>
      <w:pPr>
        <w:pStyle w:val="ListBullet"/>
        <w:spacing w:after="40"/>
        <w:ind w:left="360"/>
      </w:pPr>
      <w:r>
        <w:rPr>
          <w:color w:val="333333"/>
          <w:sz w:val="22"/>
        </w:rPr>
        <w:t>Bed management is usually a static spreadsheet view — no real-time updates and no surge prediction.</w:t>
      </w:r>
    </w:p>
    <w:p>
      <w:pPr>
        <w:pStyle w:val="ListBullet"/>
        <w:spacing w:after="40"/>
        <w:ind w:left="360"/>
      </w:pPr>
      <w:r>
        <w:rPr>
          <w:color w:val="333333"/>
          <w:sz w:val="22"/>
        </w:rPr>
        <w:t>OT scheduling is a calendar in most products — no implant tracking, no anaesthetist load balancing, no equipment booking.</w:t>
      </w:r>
    </w:p>
    <w:p>
      <w:pPr>
        <w:pStyle w:val="ListBullet"/>
        <w:spacing w:after="40"/>
        <w:ind w:left="360"/>
      </w:pPr>
      <w:r>
        <w:rPr>
          <w:color w:val="333333"/>
          <w:sz w:val="22"/>
        </w:rPr>
        <w:t>Most HMSes have NO ML no-show prediction. Hospitals routinely lose 12–18% of slots to no-shows.</w:t>
      </w:r>
    </w:p>
    <w:p>
      <w:pPr>
        <w:pStyle w:val="ListBullet"/>
        <w:spacing w:after="40"/>
        <w:ind w:left="360"/>
      </w:pPr>
      <w:r>
        <w:rPr>
          <w:color w:val="333333"/>
          <w:sz w:val="22"/>
        </w:rPr>
        <w:t>Telehealth and OPD are usually two separate systems — duplicate data entry, no single visit record.</w:t>
      </w:r>
    </w:p>
    <w:p>
      <w:pPr>
        <w:pStyle w:val="ListBullet"/>
        <w:spacing w:after="40"/>
        <w:ind w:left="360"/>
      </w:pPr>
      <w:r>
        <w:rPr>
          <w:color w:val="333333"/>
          <w:sz w:val="22"/>
        </w:rPr>
        <w:t>Discharge planning is reactive, not predictive — beds free up too late, ALOS goes up, EBITDA goes down.</w:t>
      </w:r>
    </w:p>
    <w:p>
      <w:pPr>
        <w:keepNext/>
        <w:spacing w:before="280" w:after="120"/>
      </w:pPr>
      <w:r>
        <w:rPr>
          <w:b/>
          <w:color w:val="0B2A4A"/>
          <w:sz w:val="32"/>
        </w:rPr>
        <w:t>5.5 HospitalOS differentiators</w:t>
      </w:r>
    </w:p>
    <w:p>
      <w:pPr>
        <w:pStyle w:val="ListBullet"/>
        <w:spacing w:after="40"/>
        <w:ind w:left="360"/>
      </w:pPr>
      <w:r>
        <w:rPr>
          <w:color w:val="333333"/>
          <w:sz w:val="22"/>
        </w:rPr>
        <w:t>Single visit object — appointment, telehealth, OPD, IPD all attach to one patient timeline.</w:t>
      </w:r>
    </w:p>
    <w:p>
      <w:pPr>
        <w:pStyle w:val="ListBullet"/>
        <w:spacing w:after="40"/>
        <w:ind w:left="360"/>
      </w:pPr>
      <w:r>
        <w:rPr>
          <w:color w:val="333333"/>
          <w:sz w:val="22"/>
        </w:rPr>
        <w:t>Predictive bed management with 24/72-hour admission forecasting.</w:t>
      </w:r>
    </w:p>
    <w:p>
      <w:pPr>
        <w:pStyle w:val="ListBullet"/>
        <w:spacing w:after="40"/>
        <w:ind w:left="360"/>
      </w:pPr>
      <w:r>
        <w:rPr>
          <w:color w:val="333333"/>
          <w:sz w:val="22"/>
        </w:rPr>
        <w:t>AI no-show model + auto-overbooking with patient-friendly soft commit slots.</w:t>
      </w:r>
    </w:p>
    <w:p>
      <w:pPr>
        <w:pStyle w:val="ListBullet"/>
        <w:spacing w:after="40"/>
        <w:ind w:left="360"/>
      </w:pPr>
      <w:r>
        <w:rPr>
          <w:color w:val="333333"/>
          <w:sz w:val="22"/>
        </w:rPr>
        <w:t>OT module with full surgical pathway, implants, blood, anaesthetist scheduling, OR utilization KPIs.</w:t>
      </w:r>
    </w:p>
    <w:p>
      <w:pPr>
        <w:pStyle w:val="ListBullet"/>
        <w:spacing w:after="40"/>
        <w:ind w:left="360"/>
      </w:pPr>
      <w:r>
        <w:rPr>
          <w:color w:val="333333"/>
          <w:sz w:val="22"/>
        </w:rPr>
        <w:t>ICU integration with monitors and ventilators via HL7, plus AI-powered NEWS / sepsis / deterioration alerts.</w:t>
      </w:r>
    </w:p>
    <w:p>
      <w:pPr>
        <w:pStyle w:val="ListBullet"/>
        <w:spacing w:after="40"/>
        <w:ind w:left="360"/>
      </w:pPr>
      <w:r>
        <w:rPr>
          <w:color w:val="333333"/>
          <w:sz w:val="22"/>
        </w:rPr>
        <w:t>Nursing app — BCMA scanning, medication 5 rights, eMAR, fall risk, handover.</w:t>
      </w:r>
    </w:p>
    <w:p>
      <w:pPr>
        <w:pStyle w:val="ListBullet"/>
        <w:spacing w:after="40"/>
        <w:ind w:left="360"/>
      </w:pPr>
      <w:r>
        <w:rPr>
          <w:color w:val="333333"/>
          <w:sz w:val="22"/>
        </w:rPr>
        <w:t>Discharge AI — drafts the discharge summary as soon as the doctor marks 'fit for discharge'.</w:t>
      </w:r>
    </w:p>
    <w:p>
      <w:r>
        <w:br w:type="page"/>
      </w:r>
    </w:p>
    <w:p>
      <w:pPr>
        <w:keepNext/>
        <w:spacing w:before="360" w:after="160"/>
        <w:pBdr>
          <w:bottom w:val="single" w:sz="12" w:space="4" w:color="008496"/>
        </w:pBdr>
      </w:pPr>
      <w:r>
        <w:rPr>
          <w:b/>
          <w:color w:val="0B2A4A"/>
          <w:sz w:val="44"/>
        </w:rPr>
        <w:t>6. Module 3 — EMR (Doctor + Clinical Data)</w:t>
      </w:r>
    </w:p>
    <w:p>
      <w:pPr>
        <w:keepNext/>
        <w:spacing w:before="280" w:after="120"/>
      </w:pPr>
      <w:r>
        <w:rPr>
          <w:b/>
          <w:color w:val="0B2A4A"/>
          <w:sz w:val="32"/>
        </w:rPr>
        <w:t>6.1 What this module owns</w:t>
      </w:r>
    </w:p>
    <w:p>
      <w:pPr>
        <w:spacing w:after="80" w:lineRule="auto" w:line="276"/>
      </w:pPr>
      <w:r>
        <w:rPr>
          <w:color w:val="333333"/>
          <w:sz w:val="22"/>
        </w:rPr>
        <w:t>The EMR is the clinical heart of the system. It owns the doctor consultation flow, history, examination, diagnosis, prescription, lab/radiology orders, vitals, growth charts, allergies, immunization, problem list, progress notes, surgical notes, anaesthesia records, discharge summaries, and the clinical record across the patient's entire life. EMR is the module doctors actually touch every day, and the module that determines whether they love or hate the HMS.</w:t>
      </w:r>
    </w:p>
    <w:p>
      <w:pPr>
        <w:keepNext/>
        <w:spacing w:before="280" w:after="120"/>
      </w:pPr>
      <w:r>
        <w:rPr>
          <w:b/>
          <w:color w:val="0B2A4A"/>
          <w:sz w:val="32"/>
        </w:rPr>
        <w:t>6.2 Industry-grade feature set</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168"/>
            <w:shd w:val="clear" w:color="auto" w:fill="0B2A4A"/>
          </w:tcPr>
          <w:p>
            <w:pPr>
              <w:spacing w:after="40"/>
            </w:pPr>
            <w:r>
              <w:rPr>
                <w:b/>
                <w:color w:val="FFFFFF"/>
                <w:sz w:val="21"/>
              </w:rPr>
              <w:t>Feature</w:t>
            </w:r>
          </w:p>
        </w:tc>
        <w:tc>
          <w:tcPr>
            <w:tcW w:type="dxa" w:w="6336"/>
            <w:shd w:val="clear" w:color="auto" w:fill="0B2A4A"/>
          </w:tcPr>
          <w:p>
            <w:pPr>
              <w:spacing w:after="40"/>
            </w:pPr>
            <w:r>
              <w:rPr>
                <w:b/>
                <w:color w:val="FFFFFF"/>
                <w:sz w:val="21"/>
              </w:rPr>
              <w:t>What it does</w:t>
            </w:r>
          </w:p>
        </w:tc>
      </w:tr>
      <w:tr>
        <w:tc>
          <w:tcPr>
            <w:tcW w:type="dxa" w:w="3168"/>
          </w:tcPr>
          <w:p>
            <w:pPr>
              <w:spacing w:after="40"/>
            </w:pPr>
            <w:r>
              <w:rPr>
                <w:color w:val="333333"/>
                <w:sz w:val="20"/>
              </w:rPr>
              <w:t>Specialty templates</w:t>
            </w:r>
          </w:p>
        </w:tc>
        <w:tc>
          <w:tcPr>
            <w:tcW w:type="dxa" w:w="6336"/>
          </w:tcPr>
          <w:p>
            <w:pPr>
              <w:spacing w:after="40"/>
            </w:pPr>
            <w:r>
              <w:rPr>
                <w:color w:val="333333"/>
                <w:sz w:val="20"/>
              </w:rPr>
              <w:t>Cardiology, Oncology, Orthopedics, Gynaecology, Pediatrics, ENT, Neurology, Psychiatry — 30+ specialty templates.</w:t>
            </w:r>
          </w:p>
        </w:tc>
      </w:tr>
      <w:tr>
        <w:tc>
          <w:tcPr>
            <w:tcW w:type="dxa" w:w="3168"/>
            <w:shd w:val="clear" w:color="auto" w:fill="F7F9FB"/>
          </w:tcPr>
          <w:p>
            <w:pPr>
              <w:spacing w:after="40"/>
            </w:pPr>
            <w:r>
              <w:rPr>
                <w:color w:val="333333"/>
                <w:sz w:val="20"/>
              </w:rPr>
              <w:t>SOAP / structured notes</w:t>
            </w:r>
          </w:p>
        </w:tc>
        <w:tc>
          <w:tcPr>
            <w:tcW w:type="dxa" w:w="6336"/>
            <w:shd w:val="clear" w:color="auto" w:fill="F7F9FB"/>
          </w:tcPr>
          <w:p>
            <w:pPr>
              <w:spacing w:after="40"/>
            </w:pPr>
            <w:r>
              <w:rPr>
                <w:color w:val="333333"/>
                <w:sz w:val="20"/>
              </w:rPr>
              <w:t>Subjective, Objective, Assessment, Plan — with structured + free-text fields.</w:t>
            </w:r>
          </w:p>
        </w:tc>
      </w:tr>
      <w:tr>
        <w:tc>
          <w:tcPr>
            <w:tcW w:type="dxa" w:w="3168"/>
          </w:tcPr>
          <w:p>
            <w:pPr>
              <w:spacing w:after="40"/>
            </w:pPr>
            <w:r>
              <w:rPr>
                <w:color w:val="333333"/>
                <w:sz w:val="20"/>
              </w:rPr>
              <w:t>ICD-10, SNOMED CT, LOINC</w:t>
            </w:r>
          </w:p>
        </w:tc>
        <w:tc>
          <w:tcPr>
            <w:tcW w:type="dxa" w:w="6336"/>
          </w:tcPr>
          <w:p>
            <w:pPr>
              <w:spacing w:after="40"/>
            </w:pPr>
            <w:r>
              <w:rPr>
                <w:color w:val="333333"/>
                <w:sz w:val="20"/>
              </w:rPr>
              <w:t>Coded diagnoses, problems, observations — required for analytics and insurance.</w:t>
            </w:r>
          </w:p>
        </w:tc>
      </w:tr>
      <w:tr>
        <w:tc>
          <w:tcPr>
            <w:tcW w:type="dxa" w:w="3168"/>
            <w:shd w:val="clear" w:color="auto" w:fill="F7F9FB"/>
          </w:tcPr>
          <w:p>
            <w:pPr>
              <w:spacing w:after="40"/>
            </w:pPr>
            <w:r>
              <w:rPr>
                <w:color w:val="333333"/>
                <w:sz w:val="20"/>
              </w:rPr>
              <w:t>e-Prescription</w:t>
            </w:r>
          </w:p>
        </w:tc>
        <w:tc>
          <w:tcPr>
            <w:tcW w:type="dxa" w:w="6336"/>
            <w:shd w:val="clear" w:color="auto" w:fill="F7F9FB"/>
          </w:tcPr>
          <w:p>
            <w:pPr>
              <w:spacing w:after="40"/>
            </w:pPr>
            <w:r>
              <w:rPr>
                <w:color w:val="333333"/>
                <w:sz w:val="20"/>
              </w:rPr>
              <w:t>Drug master with interactions, allergies, dose, duration, frequency, route, patient-specific dose calculator.</w:t>
            </w:r>
          </w:p>
        </w:tc>
      </w:tr>
      <w:tr>
        <w:tc>
          <w:tcPr>
            <w:tcW w:type="dxa" w:w="3168"/>
          </w:tcPr>
          <w:p>
            <w:pPr>
              <w:spacing w:after="40"/>
            </w:pPr>
            <w:r>
              <w:rPr>
                <w:color w:val="333333"/>
                <w:sz w:val="20"/>
              </w:rPr>
              <w:t>Drug-drug &amp; drug-allergy alerts</w:t>
            </w:r>
          </w:p>
        </w:tc>
        <w:tc>
          <w:tcPr>
            <w:tcW w:type="dxa" w:w="6336"/>
          </w:tcPr>
          <w:p>
            <w:pPr>
              <w:spacing w:after="40"/>
            </w:pPr>
            <w:r>
              <w:rPr>
                <w:color w:val="333333"/>
                <w:sz w:val="20"/>
              </w:rPr>
              <w:t>Real-time at point of order; severity scored; documented override.</w:t>
            </w:r>
          </w:p>
        </w:tc>
      </w:tr>
      <w:tr>
        <w:tc>
          <w:tcPr>
            <w:tcW w:type="dxa" w:w="3168"/>
            <w:shd w:val="clear" w:color="auto" w:fill="F7F9FB"/>
          </w:tcPr>
          <w:p>
            <w:pPr>
              <w:spacing w:after="40"/>
            </w:pPr>
            <w:r>
              <w:rPr>
                <w:color w:val="333333"/>
                <w:sz w:val="20"/>
              </w:rPr>
              <w:t>Lab &amp; radiology ordering</w:t>
            </w:r>
          </w:p>
        </w:tc>
        <w:tc>
          <w:tcPr>
            <w:tcW w:type="dxa" w:w="6336"/>
            <w:shd w:val="clear" w:color="auto" w:fill="F7F9FB"/>
          </w:tcPr>
          <w:p>
            <w:pPr>
              <w:spacing w:after="40"/>
            </w:pPr>
            <w:r>
              <w:rPr>
                <w:color w:val="333333"/>
                <w:sz w:val="20"/>
              </w:rPr>
              <w:t>Single order can fan out to LIS, RIS, PACS; results flow back into the same encounter.</w:t>
            </w:r>
          </w:p>
        </w:tc>
      </w:tr>
      <w:tr>
        <w:tc>
          <w:tcPr>
            <w:tcW w:type="dxa" w:w="3168"/>
          </w:tcPr>
          <w:p>
            <w:pPr>
              <w:spacing w:after="40"/>
            </w:pPr>
            <w:r>
              <w:rPr>
                <w:color w:val="333333"/>
                <w:sz w:val="20"/>
              </w:rPr>
              <w:t>Vitals &amp; flowsheets</w:t>
            </w:r>
          </w:p>
        </w:tc>
        <w:tc>
          <w:tcPr>
            <w:tcW w:type="dxa" w:w="6336"/>
          </w:tcPr>
          <w:p>
            <w:pPr>
              <w:spacing w:after="40"/>
            </w:pPr>
            <w:r>
              <w:rPr>
                <w:color w:val="333333"/>
                <w:sz w:val="20"/>
              </w:rPr>
              <w:t>BP, pulse, SpO2, temp, RR — graphical, with trend alerts and NEWS calculation.</w:t>
            </w:r>
          </w:p>
        </w:tc>
      </w:tr>
      <w:tr>
        <w:tc>
          <w:tcPr>
            <w:tcW w:type="dxa" w:w="3168"/>
            <w:shd w:val="clear" w:color="auto" w:fill="F7F9FB"/>
          </w:tcPr>
          <w:p>
            <w:pPr>
              <w:spacing w:after="40"/>
            </w:pPr>
            <w:r>
              <w:rPr>
                <w:color w:val="333333"/>
                <w:sz w:val="20"/>
              </w:rPr>
              <w:t>Growth &amp; developmental charts</w:t>
            </w:r>
          </w:p>
        </w:tc>
        <w:tc>
          <w:tcPr>
            <w:tcW w:type="dxa" w:w="6336"/>
            <w:shd w:val="clear" w:color="auto" w:fill="F7F9FB"/>
          </w:tcPr>
          <w:p>
            <w:pPr>
              <w:spacing w:after="40"/>
            </w:pPr>
            <w:r>
              <w:rPr>
                <w:color w:val="333333"/>
                <w:sz w:val="20"/>
              </w:rPr>
              <w:t>WHO + IAP charts for pediatrics.</w:t>
            </w:r>
          </w:p>
        </w:tc>
      </w:tr>
      <w:tr>
        <w:tc>
          <w:tcPr>
            <w:tcW w:type="dxa" w:w="3168"/>
          </w:tcPr>
          <w:p>
            <w:pPr>
              <w:spacing w:after="40"/>
            </w:pPr>
            <w:r>
              <w:rPr>
                <w:color w:val="333333"/>
                <w:sz w:val="20"/>
              </w:rPr>
              <w:t>Problem list &amp; care plans</w:t>
            </w:r>
          </w:p>
        </w:tc>
        <w:tc>
          <w:tcPr>
            <w:tcW w:type="dxa" w:w="6336"/>
          </w:tcPr>
          <w:p>
            <w:pPr>
              <w:spacing w:after="40"/>
            </w:pPr>
            <w:r>
              <w:rPr>
                <w:color w:val="333333"/>
                <w:sz w:val="20"/>
              </w:rPr>
              <w:t>Active, chronic, resolved — drives long-term continuity.</w:t>
            </w:r>
          </w:p>
        </w:tc>
      </w:tr>
      <w:tr>
        <w:tc>
          <w:tcPr>
            <w:tcW w:type="dxa" w:w="3168"/>
            <w:shd w:val="clear" w:color="auto" w:fill="F7F9FB"/>
          </w:tcPr>
          <w:p>
            <w:pPr>
              <w:spacing w:after="40"/>
            </w:pPr>
            <w:r>
              <w:rPr>
                <w:color w:val="333333"/>
                <w:sz w:val="20"/>
              </w:rPr>
              <w:t>Immunization registry</w:t>
            </w:r>
          </w:p>
        </w:tc>
        <w:tc>
          <w:tcPr>
            <w:tcW w:type="dxa" w:w="6336"/>
            <w:shd w:val="clear" w:color="auto" w:fill="F7F9FB"/>
          </w:tcPr>
          <w:p>
            <w:pPr>
              <w:spacing w:after="40"/>
            </w:pPr>
            <w:r>
              <w:rPr>
                <w:color w:val="333333"/>
                <w:sz w:val="20"/>
              </w:rPr>
              <w:t>National schedule + custom + due date alerts; auto-reminders to patient.</w:t>
            </w:r>
          </w:p>
        </w:tc>
      </w:tr>
      <w:tr>
        <w:tc>
          <w:tcPr>
            <w:tcW w:type="dxa" w:w="3168"/>
          </w:tcPr>
          <w:p>
            <w:pPr>
              <w:spacing w:after="40"/>
            </w:pPr>
            <w:r>
              <w:rPr>
                <w:color w:val="333333"/>
                <w:sz w:val="20"/>
              </w:rPr>
              <w:t>Surgical / anaesthesia notes</w:t>
            </w:r>
          </w:p>
        </w:tc>
        <w:tc>
          <w:tcPr>
            <w:tcW w:type="dxa" w:w="6336"/>
          </w:tcPr>
          <w:p>
            <w:pPr>
              <w:spacing w:after="40"/>
            </w:pPr>
            <w:r>
              <w:rPr>
                <w:color w:val="333333"/>
                <w:sz w:val="20"/>
              </w:rPr>
              <w:t>Pre-op, intra-op, post-op, anaesthesia chart, implant log.</w:t>
            </w:r>
          </w:p>
        </w:tc>
      </w:tr>
      <w:tr>
        <w:tc>
          <w:tcPr>
            <w:tcW w:type="dxa" w:w="3168"/>
            <w:shd w:val="clear" w:color="auto" w:fill="F7F9FB"/>
          </w:tcPr>
          <w:p>
            <w:pPr>
              <w:spacing w:after="40"/>
            </w:pPr>
            <w:r>
              <w:rPr>
                <w:color w:val="333333"/>
                <w:sz w:val="20"/>
              </w:rPr>
              <w:t>Clinical decision support</w:t>
            </w:r>
          </w:p>
        </w:tc>
        <w:tc>
          <w:tcPr>
            <w:tcW w:type="dxa" w:w="6336"/>
            <w:shd w:val="clear" w:color="auto" w:fill="F7F9FB"/>
          </w:tcPr>
          <w:p>
            <w:pPr>
              <w:spacing w:after="40"/>
            </w:pPr>
            <w:r>
              <w:rPr>
                <w:color w:val="333333"/>
                <w:sz w:val="20"/>
              </w:rPr>
              <w:t>Sepsis screen, DVT prophylaxis, antibiotic stewardship, NEWS, MEWS, fall, pressure ulcer.</w:t>
            </w:r>
          </w:p>
        </w:tc>
      </w:tr>
      <w:tr>
        <w:tc>
          <w:tcPr>
            <w:tcW w:type="dxa" w:w="3168"/>
          </w:tcPr>
          <w:p>
            <w:pPr>
              <w:spacing w:after="40"/>
            </w:pPr>
            <w:r>
              <w:rPr>
                <w:color w:val="333333"/>
                <w:sz w:val="20"/>
              </w:rPr>
              <w:t>AI scribing</w:t>
            </w:r>
          </w:p>
        </w:tc>
        <w:tc>
          <w:tcPr>
            <w:tcW w:type="dxa" w:w="6336"/>
          </w:tcPr>
          <w:p>
            <w:pPr>
              <w:spacing w:after="40"/>
            </w:pPr>
            <w:r>
              <w:rPr>
                <w:color w:val="333333"/>
                <w:sz w:val="20"/>
              </w:rPr>
              <w:t>Voice-driven, auto-generates SOAP note from doctor-patient conversation; doctor reviews and signs.</w:t>
            </w:r>
          </w:p>
        </w:tc>
      </w:tr>
      <w:tr>
        <w:tc>
          <w:tcPr>
            <w:tcW w:type="dxa" w:w="3168"/>
            <w:shd w:val="clear" w:color="auto" w:fill="F7F9FB"/>
          </w:tcPr>
          <w:p>
            <w:pPr>
              <w:spacing w:after="40"/>
            </w:pPr>
            <w:r>
              <w:rPr>
                <w:color w:val="333333"/>
                <w:sz w:val="20"/>
              </w:rPr>
              <w:t>Voice + handwriting input</w:t>
            </w:r>
          </w:p>
        </w:tc>
        <w:tc>
          <w:tcPr>
            <w:tcW w:type="dxa" w:w="6336"/>
            <w:shd w:val="clear" w:color="auto" w:fill="F7F9FB"/>
          </w:tcPr>
          <w:p>
            <w:pPr>
              <w:spacing w:after="40"/>
            </w:pPr>
            <w:r>
              <w:rPr>
                <w:color w:val="333333"/>
                <w:sz w:val="20"/>
              </w:rPr>
              <w:t>Tablet-friendly, doctor speaks or writes — system structures the data.</w:t>
            </w:r>
          </w:p>
        </w:tc>
      </w:tr>
      <w:tr>
        <w:tc>
          <w:tcPr>
            <w:tcW w:type="dxa" w:w="3168"/>
          </w:tcPr>
          <w:p>
            <w:pPr>
              <w:spacing w:after="40"/>
            </w:pPr>
            <w:r>
              <w:rPr>
                <w:color w:val="333333"/>
                <w:sz w:val="20"/>
              </w:rPr>
              <w:t>Mobile EMR</w:t>
            </w:r>
          </w:p>
        </w:tc>
        <w:tc>
          <w:tcPr>
            <w:tcW w:type="dxa" w:w="6336"/>
          </w:tcPr>
          <w:p>
            <w:pPr>
              <w:spacing w:after="40"/>
            </w:pPr>
            <w:r>
              <w:rPr>
                <w:color w:val="333333"/>
                <w:sz w:val="20"/>
              </w:rPr>
              <w:t>iPad / Android, fully offline-capable for ward rounds.</w:t>
            </w:r>
          </w:p>
        </w:tc>
      </w:tr>
      <w:tr>
        <w:tc>
          <w:tcPr>
            <w:tcW w:type="dxa" w:w="3168"/>
            <w:shd w:val="clear" w:color="auto" w:fill="F7F9FB"/>
          </w:tcPr>
          <w:p>
            <w:pPr>
              <w:spacing w:after="40"/>
            </w:pPr>
            <w:r>
              <w:rPr>
                <w:color w:val="333333"/>
                <w:sz w:val="20"/>
              </w:rPr>
              <w:t>Document management</w:t>
            </w:r>
          </w:p>
        </w:tc>
        <w:tc>
          <w:tcPr>
            <w:tcW w:type="dxa" w:w="6336"/>
            <w:shd w:val="clear" w:color="auto" w:fill="F7F9FB"/>
          </w:tcPr>
          <w:p>
            <w:pPr>
              <w:spacing w:after="40"/>
            </w:pPr>
            <w:r>
              <w:rPr>
                <w:color w:val="333333"/>
                <w:sz w:val="20"/>
              </w:rPr>
              <w:t>Old reports, scanned films, external referrals, OCR'd and indexed.</w:t>
            </w:r>
          </w:p>
        </w:tc>
      </w:tr>
      <w:tr>
        <w:tc>
          <w:tcPr>
            <w:tcW w:type="dxa" w:w="3168"/>
          </w:tcPr>
          <w:p>
            <w:pPr>
              <w:spacing w:after="40"/>
            </w:pPr>
            <w:r>
              <w:rPr>
                <w:color w:val="333333"/>
                <w:sz w:val="20"/>
              </w:rPr>
              <w:t>Telemedicine integration</w:t>
            </w:r>
          </w:p>
        </w:tc>
        <w:tc>
          <w:tcPr>
            <w:tcW w:type="dxa" w:w="6336"/>
          </w:tcPr>
          <w:p>
            <w:pPr>
              <w:spacing w:after="40"/>
            </w:pPr>
            <w:r>
              <w:rPr>
                <w:color w:val="333333"/>
                <w:sz w:val="20"/>
              </w:rPr>
              <w:t>Video consultation embedded; e-prescription + payment + follow-up at end.</w:t>
            </w:r>
          </w:p>
        </w:tc>
      </w:tr>
    </w:tbl>
    <w:p>
      <w:pPr>
        <w:spacing w:after="40"/>
      </w:pPr>
    </w:p>
    <w:p>
      <w:pPr>
        <w:keepNext/>
        <w:spacing w:before="280" w:after="120"/>
      </w:pPr>
      <w:r>
        <w:rPr>
          <w:b/>
          <w:color w:val="0B2A4A"/>
          <w:sz w:val="32"/>
        </w:rPr>
        <w:t>6.3 Where competitors fail</w:t>
      </w:r>
    </w:p>
    <w:p>
      <w:pPr>
        <w:pStyle w:val="ListBullet"/>
        <w:spacing w:after="40"/>
        <w:ind w:left="360"/>
      </w:pPr>
      <w:r>
        <w:rPr>
          <w:color w:val="333333"/>
          <w:sz w:val="22"/>
        </w:rPr>
        <w:t>Most Indian HMS EMRs are 'forms with text boxes' — no structured data, no ICD-10, no analytics value.</w:t>
      </w:r>
    </w:p>
    <w:p>
      <w:pPr>
        <w:pStyle w:val="ListBullet"/>
        <w:spacing w:after="40"/>
        <w:ind w:left="360"/>
      </w:pPr>
      <w:r>
        <w:rPr>
          <w:color w:val="333333"/>
          <w:sz w:val="22"/>
        </w:rPr>
        <w:t>Drug interaction checks are missing or use stale databases.</w:t>
      </w:r>
    </w:p>
    <w:p>
      <w:pPr>
        <w:pStyle w:val="ListBullet"/>
        <w:spacing w:after="40"/>
        <w:ind w:left="360"/>
      </w:pPr>
      <w:r>
        <w:rPr>
          <w:color w:val="333333"/>
          <w:sz w:val="22"/>
        </w:rPr>
        <w:t>AI scribing is non-existent in 99% of Indian HMS products today.</w:t>
      </w:r>
    </w:p>
    <w:p>
      <w:pPr>
        <w:pStyle w:val="ListBullet"/>
        <w:spacing w:after="40"/>
        <w:ind w:left="360"/>
      </w:pPr>
      <w:r>
        <w:rPr>
          <w:color w:val="333333"/>
          <w:sz w:val="22"/>
        </w:rPr>
        <w:t>Specialty templates are weak — cardiology and oncology are usually generic.</w:t>
      </w:r>
    </w:p>
    <w:p>
      <w:pPr>
        <w:pStyle w:val="ListBullet"/>
        <w:spacing w:after="40"/>
        <w:ind w:left="360"/>
      </w:pPr>
      <w:r>
        <w:rPr>
          <w:color w:val="333333"/>
          <w:sz w:val="22"/>
        </w:rPr>
        <w:t>Mobile EMR is missing or read-only — doctors still walk around with paper.</w:t>
      </w:r>
    </w:p>
    <w:p>
      <w:pPr>
        <w:pStyle w:val="ListBullet"/>
        <w:spacing w:after="40"/>
        <w:ind w:left="360"/>
      </w:pPr>
      <w:r>
        <w:rPr>
          <w:color w:val="333333"/>
          <w:sz w:val="22"/>
        </w:rPr>
        <w:t>ABDM-format clinical documents are not generated natively — hospitals struggle with health-data exchange.</w:t>
      </w:r>
    </w:p>
    <w:p>
      <w:pPr>
        <w:keepNext/>
        <w:spacing w:before="280" w:after="120"/>
      </w:pPr>
      <w:r>
        <w:rPr>
          <w:b/>
          <w:color w:val="0B2A4A"/>
          <w:sz w:val="32"/>
        </w:rPr>
        <w:t>6.4 HospitalOS differentiators</w:t>
      </w:r>
    </w:p>
    <w:p>
      <w:pPr>
        <w:pStyle w:val="ListBullet"/>
        <w:spacing w:after="40"/>
        <w:ind w:left="360"/>
      </w:pPr>
      <w:r>
        <w:rPr>
          <w:color w:val="333333"/>
          <w:sz w:val="22"/>
        </w:rPr>
        <w:t>AI scribing as default — doctor speaks, the SOAP note is generated, doctor signs.</w:t>
      </w:r>
    </w:p>
    <w:p>
      <w:pPr>
        <w:pStyle w:val="ListBullet"/>
        <w:spacing w:after="40"/>
        <w:ind w:left="360"/>
      </w:pPr>
      <w:r>
        <w:rPr>
          <w:color w:val="333333"/>
          <w:sz w:val="22"/>
        </w:rPr>
        <w:t>LLM-powered ICD-10 and SNOMED coding from free-text notes — improves billing and analytics by 40–60%.</w:t>
      </w:r>
    </w:p>
    <w:p>
      <w:pPr>
        <w:pStyle w:val="ListBullet"/>
        <w:spacing w:after="40"/>
        <w:ind w:left="360"/>
      </w:pPr>
      <w:r>
        <w:rPr>
          <w:color w:val="333333"/>
          <w:sz w:val="22"/>
        </w:rPr>
        <w:t>Sub-3-click consultation flow benchmarked against Epic Haiku and Cerner Power Chart Touch.</w:t>
      </w:r>
    </w:p>
    <w:p>
      <w:pPr>
        <w:pStyle w:val="ListBullet"/>
        <w:spacing w:after="40"/>
        <w:ind w:left="360"/>
      </w:pPr>
      <w:r>
        <w:rPr>
          <w:color w:val="333333"/>
          <w:sz w:val="22"/>
        </w:rPr>
        <w:t>Hospital-grade clinical decision support — sepsis, NEWS, antibiotic stewardship, contrast allergy, opioid risk.</w:t>
      </w:r>
    </w:p>
    <w:p>
      <w:pPr>
        <w:pStyle w:val="ListBullet"/>
        <w:spacing w:after="40"/>
        <w:ind w:left="360"/>
      </w:pPr>
      <w:r>
        <w:rPr>
          <w:color w:val="333333"/>
          <w:sz w:val="22"/>
        </w:rPr>
        <w:t>Native ABDM document push — every signed note, prescription, discharge summary auto-published to ABDM.</w:t>
      </w:r>
    </w:p>
    <w:p>
      <w:pPr>
        <w:pStyle w:val="ListBullet"/>
        <w:spacing w:after="40"/>
        <w:ind w:left="360"/>
      </w:pPr>
      <w:r>
        <w:rPr>
          <w:color w:val="333333"/>
          <w:sz w:val="22"/>
        </w:rPr>
        <w:t>Surgical pathway module — cath lab, oncology, orthopedics implant tracking, OT counts (sponge, instrument, needle).</w:t>
      </w:r>
    </w:p>
    <w:tbl>
      <w:tblPr>
        <w:tblW w:type="auto" w:w="0"/>
        <w:jc w:val="left"/>
        <w:tblLayout w:type="fixed"/>
        <w:tblLook w:firstColumn="1" w:firstRow="1" w:lastColumn="0" w:lastRow="0" w:noHBand="0" w:noVBand="1" w:val="04A0"/>
      </w:tblPr>
      <w:tblGrid>
        <w:gridCol w:w="9648"/>
      </w:tblGrid>
      <w:tr>
        <w:tc>
          <w:tcPr>
            <w:tcW w:type="dxa" w:w="9504"/>
            <w:shd w:val="clear" w:color="auto" w:fill="E0F2F4"/>
            <w:tcBorders>
              <w:top w:val="single" w:sz="8" w:space="0" w:color="008496"/>
              <w:left w:val="single" w:sz="24" w:space="0" w:color="008496"/>
              <w:bottom w:val="single" w:sz="8" w:space="0" w:color="008496"/>
              <w:right w:val="single" w:sz="8" w:space="0" w:color="008496"/>
            </w:tcBorders>
          </w:tcPr>
          <w:p>
            <w:pPr>
              <w:spacing w:after="40"/>
            </w:pPr>
            <w:r>
              <w:rPr>
                <w:b/>
                <w:color w:val="0B2A4A"/>
                <w:sz w:val="22"/>
              </w:rPr>
              <w:t>Why this matters most</w:t>
            </w:r>
          </w:p>
          <w:p>
            <w:pPr>
              <w:spacing w:after="40"/>
            </w:pPr>
            <w:r>
              <w:rPr>
                <w:color w:val="333333"/>
                <w:sz w:val="20"/>
              </w:rPr>
              <w:t>If the doctor hates the EMR, the contract dies. EMR usability is the #1 reason Indian hospitals rip out HMS products. HospitalOS must obsess over the doctor experience — it is the single biggest moat we can build.</w:t>
            </w:r>
          </w:p>
        </w:tc>
      </w:tr>
    </w:tbl>
    <w:p>
      <w:pPr>
        <w:spacing w:after="40"/>
      </w:pPr>
    </w:p>
    <w:p>
      <w:r>
        <w:br w:type="page"/>
      </w:r>
    </w:p>
    <w:p>
      <w:pPr>
        <w:keepNext/>
        <w:spacing w:before="360" w:after="160"/>
        <w:pBdr>
          <w:bottom w:val="single" w:sz="12" w:space="4" w:color="008496"/>
        </w:pBdr>
      </w:pPr>
      <w:r>
        <w:rPr>
          <w:b/>
          <w:color w:val="0B2A4A"/>
          <w:sz w:val="44"/>
        </w:rPr>
        <w:t>7. Module 4 — Lab Management (LIMS)</w:t>
      </w:r>
    </w:p>
    <w:p>
      <w:pPr>
        <w:keepNext/>
        <w:spacing w:before="280" w:after="120"/>
      </w:pPr>
      <w:r>
        <w:rPr>
          <w:b/>
          <w:color w:val="0B2A4A"/>
          <w:sz w:val="32"/>
        </w:rPr>
        <w:t>7.1 What this module owns</w:t>
      </w:r>
    </w:p>
    <w:p>
      <w:pPr>
        <w:spacing w:after="80" w:lineRule="auto" w:line="276"/>
      </w:pPr>
      <w:r>
        <w:rPr>
          <w:color w:val="333333"/>
          <w:sz w:val="22"/>
        </w:rPr>
        <w:t>End-to-end laboratory workflow: order entry, sample collection, barcode-driven tracking, analyzer interfacing, result entry / auto-capture, validation, sign-off, report generation, dispatch, and integration with EMR, billing, and external reference labs. Includes pathology (chemistry, hematology, microbiology, histopath, cytopath), and increasingly molecular and genomics.</w:t>
      </w:r>
    </w:p>
    <w:p>
      <w:pPr>
        <w:keepNext/>
        <w:spacing w:before="280" w:after="120"/>
      </w:pPr>
      <w:r>
        <w:rPr>
          <w:b/>
          <w:color w:val="0B2A4A"/>
          <w:sz w:val="32"/>
        </w:rPr>
        <w:t>7.2 Industry-grade feature set</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168"/>
            <w:shd w:val="clear" w:color="auto" w:fill="0B2A4A"/>
          </w:tcPr>
          <w:p>
            <w:pPr>
              <w:spacing w:after="40"/>
            </w:pPr>
            <w:r>
              <w:rPr>
                <w:b/>
                <w:color w:val="FFFFFF"/>
                <w:sz w:val="21"/>
              </w:rPr>
              <w:t>Feature</w:t>
            </w:r>
          </w:p>
        </w:tc>
        <w:tc>
          <w:tcPr>
            <w:tcW w:type="dxa" w:w="6336"/>
            <w:shd w:val="clear" w:color="auto" w:fill="0B2A4A"/>
          </w:tcPr>
          <w:p>
            <w:pPr>
              <w:spacing w:after="40"/>
            </w:pPr>
            <w:r>
              <w:rPr>
                <w:b/>
                <w:color w:val="FFFFFF"/>
                <w:sz w:val="21"/>
              </w:rPr>
              <w:t>What it does</w:t>
            </w:r>
          </w:p>
        </w:tc>
      </w:tr>
      <w:tr>
        <w:tc>
          <w:tcPr>
            <w:tcW w:type="dxa" w:w="3168"/>
          </w:tcPr>
          <w:p>
            <w:pPr>
              <w:spacing w:after="40"/>
            </w:pPr>
            <w:r>
              <w:rPr>
                <w:color w:val="333333"/>
                <w:sz w:val="20"/>
              </w:rPr>
              <w:t>Lab order entry from EMR</w:t>
            </w:r>
          </w:p>
        </w:tc>
        <w:tc>
          <w:tcPr>
            <w:tcW w:type="dxa" w:w="6336"/>
          </w:tcPr>
          <w:p>
            <w:pPr>
              <w:spacing w:after="40"/>
            </w:pPr>
            <w:r>
              <w:rPr>
                <w:color w:val="333333"/>
                <w:sz w:val="20"/>
              </w:rPr>
              <w:t>Doctor selects panels, system creates samples, prints barcodes, queues collection.</w:t>
            </w:r>
          </w:p>
        </w:tc>
      </w:tr>
      <w:tr>
        <w:tc>
          <w:tcPr>
            <w:tcW w:type="dxa" w:w="3168"/>
            <w:shd w:val="clear" w:color="auto" w:fill="F7F9FB"/>
          </w:tcPr>
          <w:p>
            <w:pPr>
              <w:spacing w:after="40"/>
            </w:pPr>
            <w:r>
              <w:rPr>
                <w:color w:val="333333"/>
                <w:sz w:val="20"/>
              </w:rPr>
              <w:t>Sample lifecycle</w:t>
            </w:r>
          </w:p>
        </w:tc>
        <w:tc>
          <w:tcPr>
            <w:tcW w:type="dxa" w:w="6336"/>
            <w:shd w:val="clear" w:color="auto" w:fill="F7F9FB"/>
          </w:tcPr>
          <w:p>
            <w:pPr>
              <w:spacing w:after="40"/>
            </w:pPr>
            <w:r>
              <w:rPr>
                <w:color w:val="333333"/>
                <w:sz w:val="20"/>
              </w:rPr>
              <w:t>Ordered → Collected → In transit → Received → Tested → Validated → Reported → Dispatched.</w:t>
            </w:r>
          </w:p>
        </w:tc>
      </w:tr>
      <w:tr>
        <w:tc>
          <w:tcPr>
            <w:tcW w:type="dxa" w:w="3168"/>
          </w:tcPr>
          <w:p>
            <w:pPr>
              <w:spacing w:after="40"/>
            </w:pPr>
            <w:r>
              <w:rPr>
                <w:color w:val="333333"/>
                <w:sz w:val="20"/>
              </w:rPr>
              <w:t>Barcode / RFID tracking</w:t>
            </w:r>
          </w:p>
        </w:tc>
        <w:tc>
          <w:tcPr>
            <w:tcW w:type="dxa" w:w="6336"/>
          </w:tcPr>
          <w:p>
            <w:pPr>
              <w:spacing w:after="40"/>
            </w:pPr>
            <w:r>
              <w:rPr>
                <w:color w:val="333333"/>
                <w:sz w:val="20"/>
              </w:rPr>
              <w:t>Every tube has a unique barcode; scans at every checkpoint.</w:t>
            </w:r>
          </w:p>
        </w:tc>
      </w:tr>
      <w:tr>
        <w:tc>
          <w:tcPr>
            <w:tcW w:type="dxa" w:w="3168"/>
            <w:shd w:val="clear" w:color="auto" w:fill="F7F9FB"/>
          </w:tcPr>
          <w:p>
            <w:pPr>
              <w:spacing w:after="40"/>
            </w:pPr>
            <w:r>
              <w:rPr>
                <w:color w:val="333333"/>
                <w:sz w:val="20"/>
              </w:rPr>
              <w:t>Analyzer interfacing</w:t>
            </w:r>
          </w:p>
        </w:tc>
        <w:tc>
          <w:tcPr>
            <w:tcW w:type="dxa" w:w="6336"/>
            <w:shd w:val="clear" w:color="auto" w:fill="F7F9FB"/>
          </w:tcPr>
          <w:p>
            <w:pPr>
              <w:spacing w:after="40"/>
            </w:pPr>
            <w:r>
              <w:rPr>
                <w:color w:val="333333"/>
                <w:sz w:val="20"/>
              </w:rPr>
              <w:t>ASTM / HL7 bidirectional with all major analyzers (Roche, Abbott, Siemens, Beckman, Sysmex, Mindray).</w:t>
            </w:r>
          </w:p>
        </w:tc>
      </w:tr>
      <w:tr>
        <w:tc>
          <w:tcPr>
            <w:tcW w:type="dxa" w:w="3168"/>
          </w:tcPr>
          <w:p>
            <w:pPr>
              <w:spacing w:after="40"/>
            </w:pPr>
            <w:r>
              <w:rPr>
                <w:color w:val="333333"/>
                <w:sz w:val="20"/>
              </w:rPr>
              <w:t>Auto-validation &amp; delta checks</w:t>
            </w:r>
          </w:p>
        </w:tc>
        <w:tc>
          <w:tcPr>
            <w:tcW w:type="dxa" w:w="6336"/>
          </w:tcPr>
          <w:p>
            <w:pPr>
              <w:spacing w:after="40"/>
            </w:pPr>
            <w:r>
              <w:rPr>
                <w:color w:val="333333"/>
                <w:sz w:val="20"/>
              </w:rPr>
              <w:t>Result auto-passed if within range and consistent with prior; abnormal → human review.</w:t>
            </w:r>
          </w:p>
        </w:tc>
      </w:tr>
      <w:tr>
        <w:tc>
          <w:tcPr>
            <w:tcW w:type="dxa" w:w="3168"/>
            <w:shd w:val="clear" w:color="auto" w:fill="F7F9FB"/>
          </w:tcPr>
          <w:p>
            <w:pPr>
              <w:spacing w:after="40"/>
            </w:pPr>
            <w:r>
              <w:rPr>
                <w:color w:val="333333"/>
                <w:sz w:val="20"/>
              </w:rPr>
              <w:t>Critical value alerts</w:t>
            </w:r>
          </w:p>
        </w:tc>
        <w:tc>
          <w:tcPr>
            <w:tcW w:type="dxa" w:w="6336"/>
            <w:shd w:val="clear" w:color="auto" w:fill="F7F9FB"/>
          </w:tcPr>
          <w:p>
            <w:pPr>
              <w:spacing w:after="40"/>
            </w:pPr>
            <w:r>
              <w:rPr>
                <w:color w:val="333333"/>
                <w:sz w:val="20"/>
              </w:rPr>
              <w:t>Auto-page doctor + nurse + escalation if no acknowledgement in N minutes.</w:t>
            </w:r>
          </w:p>
        </w:tc>
      </w:tr>
      <w:tr>
        <w:tc>
          <w:tcPr>
            <w:tcW w:type="dxa" w:w="3168"/>
          </w:tcPr>
          <w:p>
            <w:pPr>
              <w:spacing w:after="40"/>
            </w:pPr>
            <w:r>
              <w:rPr>
                <w:color w:val="333333"/>
                <w:sz w:val="20"/>
              </w:rPr>
              <w:t>Histopath / cytopath workflow</w:t>
            </w:r>
          </w:p>
        </w:tc>
        <w:tc>
          <w:tcPr>
            <w:tcW w:type="dxa" w:w="6336"/>
          </w:tcPr>
          <w:p>
            <w:pPr>
              <w:spacing w:after="40"/>
            </w:pPr>
            <w:r>
              <w:rPr>
                <w:color w:val="333333"/>
                <w:sz w:val="20"/>
              </w:rPr>
              <w:t>Block + slide tracking, multi-step report drafting, specialist sign-off, image attachment.</w:t>
            </w:r>
          </w:p>
        </w:tc>
      </w:tr>
      <w:tr>
        <w:tc>
          <w:tcPr>
            <w:tcW w:type="dxa" w:w="3168"/>
            <w:shd w:val="clear" w:color="auto" w:fill="F7F9FB"/>
          </w:tcPr>
          <w:p>
            <w:pPr>
              <w:spacing w:after="40"/>
            </w:pPr>
            <w:r>
              <w:rPr>
                <w:color w:val="333333"/>
                <w:sz w:val="20"/>
              </w:rPr>
              <w:t>Microbiology workflow</w:t>
            </w:r>
          </w:p>
        </w:tc>
        <w:tc>
          <w:tcPr>
            <w:tcW w:type="dxa" w:w="6336"/>
            <w:shd w:val="clear" w:color="auto" w:fill="F7F9FB"/>
          </w:tcPr>
          <w:p>
            <w:pPr>
              <w:spacing w:after="40"/>
            </w:pPr>
            <w:r>
              <w:rPr>
                <w:color w:val="333333"/>
                <w:sz w:val="20"/>
              </w:rPr>
              <w:t>Culture, sensitivity, antibiogram, infection control alerts.</w:t>
            </w:r>
          </w:p>
        </w:tc>
      </w:tr>
      <w:tr>
        <w:tc>
          <w:tcPr>
            <w:tcW w:type="dxa" w:w="3168"/>
          </w:tcPr>
          <w:p>
            <w:pPr>
              <w:spacing w:after="40"/>
            </w:pPr>
            <w:r>
              <w:rPr>
                <w:color w:val="333333"/>
                <w:sz w:val="20"/>
              </w:rPr>
              <w:t>LOINC coding</w:t>
            </w:r>
          </w:p>
        </w:tc>
        <w:tc>
          <w:tcPr>
            <w:tcW w:type="dxa" w:w="6336"/>
          </w:tcPr>
          <w:p>
            <w:pPr>
              <w:spacing w:after="40"/>
            </w:pPr>
            <w:r>
              <w:rPr>
                <w:color w:val="333333"/>
                <w:sz w:val="20"/>
              </w:rPr>
              <w:t>Every test mapped to LOINC for analytics, ABDM, insurance.</w:t>
            </w:r>
          </w:p>
        </w:tc>
      </w:tr>
      <w:tr>
        <w:tc>
          <w:tcPr>
            <w:tcW w:type="dxa" w:w="3168"/>
            <w:shd w:val="clear" w:color="auto" w:fill="F7F9FB"/>
          </w:tcPr>
          <w:p>
            <w:pPr>
              <w:spacing w:after="40"/>
            </w:pPr>
            <w:r>
              <w:rPr>
                <w:color w:val="333333"/>
                <w:sz w:val="20"/>
              </w:rPr>
              <w:t>Reference lab integration</w:t>
            </w:r>
          </w:p>
        </w:tc>
        <w:tc>
          <w:tcPr>
            <w:tcW w:type="dxa" w:w="6336"/>
            <w:shd w:val="clear" w:color="auto" w:fill="F7F9FB"/>
          </w:tcPr>
          <w:p>
            <w:pPr>
              <w:spacing w:after="40"/>
            </w:pPr>
            <w:r>
              <w:rPr>
                <w:color w:val="333333"/>
                <w:sz w:val="20"/>
              </w:rPr>
              <w:t>Send-out tests to SRL/Metropolis/Thyrocare; auto-receive results.</w:t>
            </w:r>
          </w:p>
        </w:tc>
      </w:tr>
      <w:tr>
        <w:tc>
          <w:tcPr>
            <w:tcW w:type="dxa" w:w="3168"/>
          </w:tcPr>
          <w:p>
            <w:pPr>
              <w:spacing w:after="40"/>
            </w:pPr>
            <w:r>
              <w:rPr>
                <w:color w:val="333333"/>
                <w:sz w:val="20"/>
              </w:rPr>
              <w:t>Quality control (QC)</w:t>
            </w:r>
          </w:p>
        </w:tc>
        <w:tc>
          <w:tcPr>
            <w:tcW w:type="dxa" w:w="6336"/>
          </w:tcPr>
          <w:p>
            <w:pPr>
              <w:spacing w:after="40"/>
            </w:pPr>
            <w:r>
              <w:rPr>
                <w:color w:val="333333"/>
                <w:sz w:val="20"/>
              </w:rPr>
              <w:t>Levey-Jennings, Westgard rules, Bio-Rad / Unity Real Time.</w:t>
            </w:r>
          </w:p>
        </w:tc>
      </w:tr>
      <w:tr>
        <w:tc>
          <w:tcPr>
            <w:tcW w:type="dxa" w:w="3168"/>
            <w:shd w:val="clear" w:color="auto" w:fill="F7F9FB"/>
          </w:tcPr>
          <w:p>
            <w:pPr>
              <w:spacing w:after="40"/>
            </w:pPr>
            <w:r>
              <w:rPr>
                <w:color w:val="333333"/>
                <w:sz w:val="20"/>
              </w:rPr>
              <w:t>NABL / CAP audit trail</w:t>
            </w:r>
          </w:p>
        </w:tc>
        <w:tc>
          <w:tcPr>
            <w:tcW w:type="dxa" w:w="6336"/>
            <w:shd w:val="clear" w:color="auto" w:fill="F7F9FB"/>
          </w:tcPr>
          <w:p>
            <w:pPr>
              <w:spacing w:after="40"/>
            </w:pPr>
            <w:r>
              <w:rPr>
                <w:color w:val="333333"/>
                <w:sz w:val="20"/>
              </w:rPr>
              <w:t>Every change, every overide, every sign-off — fully traceable.</w:t>
            </w:r>
          </w:p>
        </w:tc>
      </w:tr>
      <w:tr>
        <w:tc>
          <w:tcPr>
            <w:tcW w:type="dxa" w:w="3168"/>
          </w:tcPr>
          <w:p>
            <w:pPr>
              <w:spacing w:after="40"/>
            </w:pPr>
            <w:r>
              <w:rPr>
                <w:color w:val="333333"/>
                <w:sz w:val="20"/>
              </w:rPr>
              <w:t>Patient lab app delivery</w:t>
            </w:r>
          </w:p>
        </w:tc>
        <w:tc>
          <w:tcPr>
            <w:tcW w:type="dxa" w:w="6336"/>
          </w:tcPr>
          <w:p>
            <w:pPr>
              <w:spacing w:after="40"/>
            </w:pPr>
            <w:r>
              <w:rPr>
                <w:color w:val="333333"/>
                <w:sz w:val="20"/>
              </w:rPr>
              <w:t>Reports delivered to patient app + email + WhatsApp.</w:t>
            </w:r>
          </w:p>
        </w:tc>
      </w:tr>
    </w:tbl>
    <w:p>
      <w:pPr>
        <w:spacing w:after="40"/>
      </w:pPr>
    </w:p>
    <w:p>
      <w:pPr>
        <w:keepNext/>
        <w:spacing w:before="280" w:after="120"/>
      </w:pPr>
      <w:r>
        <w:rPr>
          <w:b/>
          <w:color w:val="0B2A4A"/>
          <w:sz w:val="32"/>
        </w:rPr>
        <w:t>7.3 Where competitors fail</w:t>
      </w:r>
    </w:p>
    <w:p>
      <w:pPr>
        <w:pStyle w:val="ListBullet"/>
        <w:spacing w:after="40"/>
        <w:ind w:left="360"/>
      </w:pPr>
      <w:r>
        <w:rPr>
          <w:color w:val="333333"/>
          <w:sz w:val="22"/>
        </w:rPr>
        <w:t>Many HMS LIMS are 'data entry boxes' — no analyzer interfacing, no QC, no NABL trail.</w:t>
      </w:r>
    </w:p>
    <w:p>
      <w:pPr>
        <w:pStyle w:val="ListBullet"/>
        <w:spacing w:after="40"/>
        <w:ind w:left="360"/>
      </w:pPr>
      <w:r>
        <w:rPr>
          <w:color w:val="333333"/>
          <w:sz w:val="22"/>
        </w:rPr>
        <w:t>Microbiology and histopath are usually missing entirely — hospitals run separate software.</w:t>
      </w:r>
    </w:p>
    <w:p>
      <w:pPr>
        <w:pStyle w:val="ListBullet"/>
        <w:spacing w:after="40"/>
        <w:ind w:left="360"/>
      </w:pPr>
      <w:r>
        <w:rPr>
          <w:color w:val="333333"/>
          <w:sz w:val="22"/>
        </w:rPr>
        <w:t>LOINC coding is rare in Indian products — analytics and ABDM compliance suffer.</w:t>
      </w:r>
    </w:p>
    <w:p>
      <w:pPr>
        <w:pStyle w:val="ListBullet"/>
        <w:spacing w:after="40"/>
        <w:ind w:left="360"/>
      </w:pPr>
      <w:r>
        <w:rPr>
          <w:color w:val="333333"/>
          <w:sz w:val="22"/>
        </w:rPr>
        <w:t>Critical value escalation is manual; doctors miss life-threatening results.</w:t>
      </w:r>
    </w:p>
    <w:p>
      <w:pPr>
        <w:keepNext/>
        <w:spacing w:before="280" w:after="120"/>
      </w:pPr>
      <w:r>
        <w:rPr>
          <w:b/>
          <w:color w:val="0B2A4A"/>
          <w:sz w:val="32"/>
        </w:rPr>
        <w:t>7.4 HospitalOS differentiators</w:t>
      </w:r>
    </w:p>
    <w:p>
      <w:pPr>
        <w:pStyle w:val="ListBullet"/>
        <w:spacing w:after="40"/>
        <w:ind w:left="360"/>
      </w:pPr>
      <w:r>
        <w:rPr>
          <w:color w:val="333333"/>
          <w:sz w:val="22"/>
        </w:rPr>
        <w:t>Universal analyzer driver framework — onboard a new analyzer in 1 day, not 3 weeks.</w:t>
      </w:r>
    </w:p>
    <w:p>
      <w:pPr>
        <w:pStyle w:val="ListBullet"/>
        <w:spacing w:after="40"/>
        <w:ind w:left="360"/>
      </w:pPr>
      <w:r>
        <w:rPr>
          <w:color w:val="333333"/>
          <w:sz w:val="22"/>
        </w:rPr>
        <w:t>Built-in Levey-Jennings / Westgard QC, NABL-ready audit log.</w:t>
      </w:r>
    </w:p>
    <w:p>
      <w:pPr>
        <w:pStyle w:val="ListBullet"/>
        <w:spacing w:after="40"/>
        <w:ind w:left="360"/>
      </w:pPr>
      <w:r>
        <w:rPr>
          <w:color w:val="333333"/>
          <w:sz w:val="22"/>
        </w:rPr>
        <w:t>Histopath, cytopath, microbiology all in one LIMS — no third-party software.</w:t>
      </w:r>
    </w:p>
    <w:p>
      <w:pPr>
        <w:pStyle w:val="ListBullet"/>
        <w:spacing w:after="40"/>
        <w:ind w:left="360"/>
      </w:pPr>
      <w:r>
        <w:rPr>
          <w:color w:val="333333"/>
          <w:sz w:val="22"/>
        </w:rPr>
        <w:t>LOINC + SNOMED native, ABDM-ready lab reports.</w:t>
      </w:r>
    </w:p>
    <w:p>
      <w:pPr>
        <w:pStyle w:val="ListBullet"/>
        <w:spacing w:after="40"/>
        <w:ind w:left="360"/>
      </w:pPr>
      <w:r>
        <w:rPr>
          <w:color w:val="333333"/>
          <w:sz w:val="22"/>
        </w:rPr>
        <w:t>Critical value AI — auto-detects critical results, pages doctor, escalates if unacknowledged.</w:t>
      </w:r>
    </w:p>
    <w:p>
      <w:r>
        <w:br w:type="page"/>
      </w:r>
    </w:p>
    <w:p>
      <w:pPr>
        <w:keepNext/>
        <w:spacing w:before="360" w:after="160"/>
        <w:pBdr>
          <w:bottom w:val="single" w:sz="12" w:space="4" w:color="008496"/>
        </w:pBdr>
      </w:pPr>
      <w:r>
        <w:rPr>
          <w:b/>
          <w:color w:val="0B2A4A"/>
          <w:sz w:val="44"/>
        </w:rPr>
        <w:t>8. Module 5 — Pharmacy Management</w:t>
      </w:r>
    </w:p>
    <w:p>
      <w:pPr>
        <w:keepNext/>
        <w:spacing w:before="280" w:after="120"/>
      </w:pPr>
      <w:r>
        <w:rPr>
          <w:b/>
          <w:color w:val="0B2A4A"/>
          <w:sz w:val="32"/>
        </w:rPr>
        <w:t>8.1 What this module owns</w:t>
      </w:r>
    </w:p>
    <w:p>
      <w:pPr>
        <w:spacing w:after="80" w:lineRule="auto" w:line="276"/>
      </w:pPr>
      <w:r>
        <w:rPr>
          <w:color w:val="333333"/>
          <w:sz w:val="22"/>
        </w:rPr>
        <w:t>Hospital pharmacy operations: inpatient pharmacy (issue against prescription), outpatient pharmacy (retail counter), ward stock, OT/ICU narcotic registers, drug master, batch + expiry tracking, billing, returns, vendor procurement, and integration with EMR (CPOE) and inventory.</w:t>
      </w:r>
    </w:p>
    <w:p>
      <w:pPr>
        <w:keepNext/>
        <w:spacing w:before="280" w:after="120"/>
      </w:pPr>
      <w:r>
        <w:rPr>
          <w:b/>
          <w:color w:val="0B2A4A"/>
          <w:sz w:val="32"/>
        </w:rPr>
        <w:t>8.2 Industry-grade feature set</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168"/>
            <w:shd w:val="clear" w:color="auto" w:fill="0B2A4A"/>
          </w:tcPr>
          <w:p>
            <w:pPr>
              <w:spacing w:after="40"/>
            </w:pPr>
            <w:r>
              <w:rPr>
                <w:b/>
                <w:color w:val="FFFFFF"/>
                <w:sz w:val="21"/>
              </w:rPr>
              <w:t>Feature</w:t>
            </w:r>
          </w:p>
        </w:tc>
        <w:tc>
          <w:tcPr>
            <w:tcW w:type="dxa" w:w="6336"/>
            <w:shd w:val="clear" w:color="auto" w:fill="0B2A4A"/>
          </w:tcPr>
          <w:p>
            <w:pPr>
              <w:spacing w:after="40"/>
            </w:pPr>
            <w:r>
              <w:rPr>
                <w:b/>
                <w:color w:val="FFFFFF"/>
                <w:sz w:val="21"/>
              </w:rPr>
              <w:t>What it does</w:t>
            </w:r>
          </w:p>
        </w:tc>
      </w:tr>
      <w:tr>
        <w:tc>
          <w:tcPr>
            <w:tcW w:type="dxa" w:w="3168"/>
          </w:tcPr>
          <w:p>
            <w:pPr>
              <w:spacing w:after="40"/>
            </w:pPr>
            <w:r>
              <w:rPr>
                <w:color w:val="333333"/>
                <w:sz w:val="20"/>
              </w:rPr>
              <w:t>Drug master</w:t>
            </w:r>
          </w:p>
        </w:tc>
        <w:tc>
          <w:tcPr>
            <w:tcW w:type="dxa" w:w="6336"/>
          </w:tcPr>
          <w:p>
            <w:pPr>
              <w:spacing w:after="40"/>
            </w:pPr>
            <w:r>
              <w:rPr>
                <w:color w:val="333333"/>
                <w:sz w:val="20"/>
              </w:rPr>
              <w:t>100k+ SKUs, generic + brand, schedule H/H1/X, narcotic flag, refrigeration flag, NDC, HSN.</w:t>
            </w:r>
          </w:p>
        </w:tc>
      </w:tr>
      <w:tr>
        <w:tc>
          <w:tcPr>
            <w:tcW w:type="dxa" w:w="3168"/>
            <w:shd w:val="clear" w:color="auto" w:fill="F7F9FB"/>
          </w:tcPr>
          <w:p>
            <w:pPr>
              <w:spacing w:after="40"/>
            </w:pPr>
            <w:r>
              <w:rPr>
                <w:color w:val="333333"/>
                <w:sz w:val="20"/>
              </w:rPr>
              <w:t>CPOE → pharmacy</w:t>
            </w:r>
          </w:p>
        </w:tc>
        <w:tc>
          <w:tcPr>
            <w:tcW w:type="dxa" w:w="6336"/>
            <w:shd w:val="clear" w:color="auto" w:fill="F7F9FB"/>
          </w:tcPr>
          <w:p>
            <w:pPr>
              <w:spacing w:after="40"/>
            </w:pPr>
            <w:r>
              <w:rPr>
                <w:color w:val="333333"/>
                <w:sz w:val="20"/>
              </w:rPr>
              <w:t>Doctor's e-prescription auto-creates pharmacy issue; no re-typing.</w:t>
            </w:r>
          </w:p>
        </w:tc>
      </w:tr>
      <w:tr>
        <w:tc>
          <w:tcPr>
            <w:tcW w:type="dxa" w:w="3168"/>
          </w:tcPr>
          <w:p>
            <w:pPr>
              <w:spacing w:after="40"/>
            </w:pPr>
            <w:r>
              <w:rPr>
                <w:color w:val="333333"/>
                <w:sz w:val="20"/>
              </w:rPr>
              <w:t>FIFO / FEFO dispensing</w:t>
            </w:r>
          </w:p>
        </w:tc>
        <w:tc>
          <w:tcPr>
            <w:tcW w:type="dxa" w:w="6336"/>
          </w:tcPr>
          <w:p>
            <w:pPr>
              <w:spacing w:after="40"/>
            </w:pPr>
            <w:r>
              <w:rPr>
                <w:color w:val="333333"/>
                <w:sz w:val="20"/>
              </w:rPr>
              <w:t>First-In-First-Out / First-Expiry-First-Out — system enforces, not the pharmacist.</w:t>
            </w:r>
          </w:p>
        </w:tc>
      </w:tr>
      <w:tr>
        <w:tc>
          <w:tcPr>
            <w:tcW w:type="dxa" w:w="3168"/>
            <w:shd w:val="clear" w:color="auto" w:fill="F7F9FB"/>
          </w:tcPr>
          <w:p>
            <w:pPr>
              <w:spacing w:after="40"/>
            </w:pPr>
            <w:r>
              <w:rPr>
                <w:color w:val="333333"/>
                <w:sz w:val="20"/>
              </w:rPr>
              <w:t>Batch &amp; expiry</w:t>
            </w:r>
          </w:p>
        </w:tc>
        <w:tc>
          <w:tcPr>
            <w:tcW w:type="dxa" w:w="6336"/>
            <w:shd w:val="clear" w:color="auto" w:fill="F7F9FB"/>
          </w:tcPr>
          <w:p>
            <w:pPr>
              <w:spacing w:after="40"/>
            </w:pPr>
            <w:r>
              <w:rPr>
                <w:color w:val="333333"/>
                <w:sz w:val="20"/>
              </w:rPr>
              <w:t>Every dispense tracks batch, expiry, MRP, supplier, GRN; alerts at 90/60/30 days.</w:t>
            </w:r>
          </w:p>
        </w:tc>
      </w:tr>
      <w:tr>
        <w:tc>
          <w:tcPr>
            <w:tcW w:type="dxa" w:w="3168"/>
          </w:tcPr>
          <w:p>
            <w:pPr>
              <w:spacing w:after="40"/>
            </w:pPr>
            <w:r>
              <w:rPr>
                <w:color w:val="333333"/>
                <w:sz w:val="20"/>
              </w:rPr>
              <w:t>Substitution rules</w:t>
            </w:r>
          </w:p>
        </w:tc>
        <w:tc>
          <w:tcPr>
            <w:tcW w:type="dxa" w:w="6336"/>
          </w:tcPr>
          <w:p>
            <w:pPr>
              <w:spacing w:after="40"/>
            </w:pPr>
            <w:r>
              <w:rPr>
                <w:color w:val="333333"/>
                <w:sz w:val="20"/>
              </w:rPr>
              <w:t>Generic substitution, brand-of-choice, formulary, payer-specific.</w:t>
            </w:r>
          </w:p>
        </w:tc>
      </w:tr>
      <w:tr>
        <w:tc>
          <w:tcPr>
            <w:tcW w:type="dxa" w:w="3168"/>
            <w:shd w:val="clear" w:color="auto" w:fill="F7F9FB"/>
          </w:tcPr>
          <w:p>
            <w:pPr>
              <w:spacing w:after="40"/>
            </w:pPr>
            <w:r>
              <w:rPr>
                <w:color w:val="333333"/>
                <w:sz w:val="20"/>
              </w:rPr>
              <w:t>Drug-drug, drug-allergy, drug-food, drug-disease alerts</w:t>
            </w:r>
          </w:p>
        </w:tc>
        <w:tc>
          <w:tcPr>
            <w:tcW w:type="dxa" w:w="6336"/>
            <w:shd w:val="clear" w:color="auto" w:fill="F7F9FB"/>
          </w:tcPr>
          <w:p>
            <w:pPr>
              <w:spacing w:after="40"/>
            </w:pPr>
            <w:r>
              <w:rPr>
                <w:color w:val="333333"/>
                <w:sz w:val="20"/>
              </w:rPr>
              <w:t>At order time AND at dispense time.</w:t>
            </w:r>
          </w:p>
        </w:tc>
      </w:tr>
      <w:tr>
        <w:tc>
          <w:tcPr>
            <w:tcW w:type="dxa" w:w="3168"/>
          </w:tcPr>
          <w:p>
            <w:pPr>
              <w:spacing w:after="40"/>
            </w:pPr>
            <w:r>
              <w:rPr>
                <w:color w:val="333333"/>
                <w:sz w:val="20"/>
              </w:rPr>
              <w:t>Narcotic register</w:t>
            </w:r>
          </w:p>
        </w:tc>
        <w:tc>
          <w:tcPr>
            <w:tcW w:type="dxa" w:w="6336"/>
          </w:tcPr>
          <w:p>
            <w:pPr>
              <w:spacing w:after="40"/>
            </w:pPr>
            <w:r>
              <w:rPr>
                <w:color w:val="333333"/>
                <w:sz w:val="20"/>
              </w:rPr>
              <w:t>Schedule X / NDPS — full chain of custody, witness signoff, daily reconciliation.</w:t>
            </w:r>
          </w:p>
        </w:tc>
      </w:tr>
      <w:tr>
        <w:tc>
          <w:tcPr>
            <w:tcW w:type="dxa" w:w="3168"/>
            <w:shd w:val="clear" w:color="auto" w:fill="F7F9FB"/>
          </w:tcPr>
          <w:p>
            <w:pPr>
              <w:spacing w:after="40"/>
            </w:pPr>
            <w:r>
              <w:rPr>
                <w:color w:val="333333"/>
                <w:sz w:val="20"/>
              </w:rPr>
              <w:t>Ward stock &amp; top-up</w:t>
            </w:r>
          </w:p>
        </w:tc>
        <w:tc>
          <w:tcPr>
            <w:tcW w:type="dxa" w:w="6336"/>
            <w:shd w:val="clear" w:color="auto" w:fill="F7F9FB"/>
          </w:tcPr>
          <w:p>
            <w:pPr>
              <w:spacing w:after="40"/>
            </w:pPr>
            <w:r>
              <w:rPr>
                <w:color w:val="333333"/>
                <w:sz w:val="20"/>
              </w:rPr>
              <w:t>Each ward has a par level; system auto-generates indent when stock &lt; par.</w:t>
            </w:r>
          </w:p>
        </w:tc>
      </w:tr>
      <w:tr>
        <w:tc>
          <w:tcPr>
            <w:tcW w:type="dxa" w:w="3168"/>
          </w:tcPr>
          <w:p>
            <w:pPr>
              <w:spacing w:after="40"/>
            </w:pPr>
            <w:r>
              <w:rPr>
                <w:color w:val="333333"/>
                <w:sz w:val="20"/>
              </w:rPr>
              <w:t>Automated dispensing cabinets (ADC)</w:t>
            </w:r>
          </w:p>
        </w:tc>
        <w:tc>
          <w:tcPr>
            <w:tcW w:type="dxa" w:w="6336"/>
          </w:tcPr>
          <w:p>
            <w:pPr>
              <w:spacing w:after="40"/>
            </w:pPr>
            <w:r>
              <w:rPr>
                <w:color w:val="333333"/>
                <w:sz w:val="20"/>
              </w:rPr>
              <w:t>Pyxis / Omnicell / BD integration for ICU, OT, ER.</w:t>
            </w:r>
          </w:p>
        </w:tc>
      </w:tr>
      <w:tr>
        <w:tc>
          <w:tcPr>
            <w:tcW w:type="dxa" w:w="3168"/>
            <w:shd w:val="clear" w:color="auto" w:fill="F7F9FB"/>
          </w:tcPr>
          <w:p>
            <w:pPr>
              <w:spacing w:after="40"/>
            </w:pPr>
            <w:r>
              <w:rPr>
                <w:color w:val="333333"/>
                <w:sz w:val="20"/>
              </w:rPr>
              <w:t>Returns &amp; substitutions</w:t>
            </w:r>
          </w:p>
        </w:tc>
        <w:tc>
          <w:tcPr>
            <w:tcW w:type="dxa" w:w="6336"/>
            <w:shd w:val="clear" w:color="auto" w:fill="F7F9FB"/>
          </w:tcPr>
          <w:p>
            <w:pPr>
              <w:spacing w:after="40"/>
            </w:pPr>
            <w:r>
              <w:rPr>
                <w:color w:val="333333"/>
                <w:sz w:val="20"/>
              </w:rPr>
              <w:t>Patient returns half-used strips, system handles refund + restock + audit.</w:t>
            </w:r>
          </w:p>
        </w:tc>
      </w:tr>
      <w:tr>
        <w:tc>
          <w:tcPr>
            <w:tcW w:type="dxa" w:w="3168"/>
          </w:tcPr>
          <w:p>
            <w:pPr>
              <w:spacing w:after="40"/>
            </w:pPr>
            <w:r>
              <w:rPr>
                <w:color w:val="333333"/>
                <w:sz w:val="20"/>
              </w:rPr>
              <w:t>Outpatient retail pharmacy</w:t>
            </w:r>
          </w:p>
        </w:tc>
        <w:tc>
          <w:tcPr>
            <w:tcW w:type="dxa" w:w="6336"/>
          </w:tcPr>
          <w:p>
            <w:pPr>
              <w:spacing w:after="40"/>
            </w:pPr>
            <w:r>
              <w:rPr>
                <w:color w:val="333333"/>
                <w:sz w:val="20"/>
              </w:rPr>
              <w:t>POS counter, GST invoice, loyalty, insurance, online order delivery.</w:t>
            </w:r>
          </w:p>
        </w:tc>
      </w:tr>
      <w:tr>
        <w:tc>
          <w:tcPr>
            <w:tcW w:type="dxa" w:w="3168"/>
            <w:shd w:val="clear" w:color="auto" w:fill="F7F9FB"/>
          </w:tcPr>
          <w:p>
            <w:pPr>
              <w:spacing w:after="40"/>
            </w:pPr>
            <w:r>
              <w:rPr>
                <w:color w:val="333333"/>
                <w:sz w:val="20"/>
              </w:rPr>
              <w:t>Discharge medication</w:t>
            </w:r>
          </w:p>
        </w:tc>
        <w:tc>
          <w:tcPr>
            <w:tcW w:type="dxa" w:w="6336"/>
            <w:shd w:val="clear" w:color="auto" w:fill="F7F9FB"/>
          </w:tcPr>
          <w:p>
            <w:pPr>
              <w:spacing w:after="40"/>
            </w:pPr>
            <w:r>
              <w:rPr>
                <w:color w:val="333333"/>
                <w:sz w:val="20"/>
              </w:rPr>
              <w:t>TTH (To Take Home) — auto-generated from discharge summary, billed and dispensed.</w:t>
            </w:r>
          </w:p>
        </w:tc>
      </w:tr>
      <w:tr>
        <w:tc>
          <w:tcPr>
            <w:tcW w:type="dxa" w:w="3168"/>
          </w:tcPr>
          <w:p>
            <w:pPr>
              <w:spacing w:after="40"/>
            </w:pPr>
            <w:r>
              <w:rPr>
                <w:color w:val="333333"/>
                <w:sz w:val="20"/>
              </w:rPr>
              <w:t>Pharmacy KPIs</w:t>
            </w:r>
          </w:p>
        </w:tc>
        <w:tc>
          <w:tcPr>
            <w:tcW w:type="dxa" w:w="6336"/>
          </w:tcPr>
          <w:p>
            <w:pPr>
              <w:spacing w:after="40"/>
            </w:pPr>
            <w:r>
              <w:rPr>
                <w:color w:val="333333"/>
                <w:sz w:val="20"/>
              </w:rPr>
              <w:t>Stock-outs, expiry write-offs, GMROI, days of supply, top-100 movers.</w:t>
            </w:r>
          </w:p>
        </w:tc>
      </w:tr>
    </w:tbl>
    <w:p>
      <w:pPr>
        <w:spacing w:after="40"/>
      </w:pPr>
    </w:p>
    <w:p>
      <w:pPr>
        <w:keepNext/>
        <w:spacing w:before="280" w:after="120"/>
      </w:pPr>
      <w:r>
        <w:rPr>
          <w:b/>
          <w:color w:val="0B2A4A"/>
          <w:sz w:val="32"/>
        </w:rPr>
        <w:t>8.3 Where competitors fail</w:t>
      </w:r>
    </w:p>
    <w:p>
      <w:pPr>
        <w:pStyle w:val="ListBullet"/>
        <w:spacing w:after="40"/>
        <w:ind w:left="360"/>
      </w:pPr>
      <w:r>
        <w:rPr>
          <w:color w:val="333333"/>
          <w:sz w:val="22"/>
        </w:rPr>
        <w:t>Pharmacy is typically a glorified retail POS — not a hospital pharmacy module.</w:t>
      </w:r>
    </w:p>
    <w:p>
      <w:pPr>
        <w:pStyle w:val="ListBullet"/>
        <w:spacing w:after="40"/>
        <w:ind w:left="360"/>
      </w:pPr>
      <w:r>
        <w:rPr>
          <w:color w:val="333333"/>
          <w:sz w:val="22"/>
        </w:rPr>
        <w:t>FIFO/FEFO is enforced manually — leads to expiry write-offs of 1–3% of inventory.</w:t>
      </w:r>
    </w:p>
    <w:p>
      <w:pPr>
        <w:pStyle w:val="ListBullet"/>
        <w:spacing w:after="40"/>
        <w:ind w:left="360"/>
      </w:pPr>
      <w:r>
        <w:rPr>
          <w:color w:val="333333"/>
          <w:sz w:val="22"/>
        </w:rPr>
        <w:t>Narcotic registers are kept on paper. NDPS audits routinely fail.</w:t>
      </w:r>
    </w:p>
    <w:p>
      <w:pPr>
        <w:pStyle w:val="ListBullet"/>
        <w:spacing w:after="40"/>
        <w:ind w:left="360"/>
      </w:pPr>
      <w:r>
        <w:rPr>
          <w:color w:val="333333"/>
          <w:sz w:val="22"/>
        </w:rPr>
        <w:t>ADCs are not supported — large hospitals can't automate ward stock.</w:t>
      </w:r>
    </w:p>
    <w:p>
      <w:pPr>
        <w:pStyle w:val="ListBullet"/>
        <w:spacing w:after="40"/>
        <w:ind w:left="360"/>
      </w:pPr>
      <w:r>
        <w:rPr>
          <w:color w:val="333333"/>
          <w:sz w:val="22"/>
        </w:rPr>
        <w:t>Drug-drug interactions are missing or use unmaintained dictionaries.</w:t>
      </w:r>
    </w:p>
    <w:p>
      <w:pPr>
        <w:keepNext/>
        <w:spacing w:before="280" w:after="120"/>
      </w:pPr>
      <w:r>
        <w:rPr>
          <w:b/>
          <w:color w:val="0B2A4A"/>
          <w:sz w:val="32"/>
        </w:rPr>
        <w:t>8.4 HospitalOS differentiators</w:t>
      </w:r>
    </w:p>
    <w:p>
      <w:pPr>
        <w:pStyle w:val="ListBullet"/>
        <w:spacing w:after="40"/>
        <w:ind w:left="360"/>
      </w:pPr>
      <w:r>
        <w:rPr>
          <w:color w:val="333333"/>
          <w:sz w:val="22"/>
        </w:rPr>
        <w:t>CPOE → pharmacy is one click. No retyping. No transcription errors.</w:t>
      </w:r>
    </w:p>
    <w:p>
      <w:pPr>
        <w:pStyle w:val="ListBullet"/>
        <w:spacing w:after="40"/>
        <w:ind w:left="360"/>
      </w:pPr>
      <w:r>
        <w:rPr>
          <w:color w:val="333333"/>
          <w:sz w:val="22"/>
        </w:rPr>
        <w:t>FIFO/FEFO and batch enforcement at the dispense screen — pharmacist cannot override silently.</w:t>
      </w:r>
    </w:p>
    <w:p>
      <w:pPr>
        <w:pStyle w:val="ListBullet"/>
        <w:spacing w:after="40"/>
        <w:ind w:left="360"/>
      </w:pPr>
      <w:r>
        <w:rPr>
          <w:color w:val="333333"/>
          <w:sz w:val="22"/>
        </w:rPr>
        <w:t>Built-in narcotic register, NDPS-compliant, double-witness sign-off.</w:t>
      </w:r>
    </w:p>
    <w:p>
      <w:pPr>
        <w:pStyle w:val="ListBullet"/>
        <w:spacing w:after="40"/>
        <w:ind w:left="360"/>
      </w:pPr>
      <w:r>
        <w:rPr>
          <w:color w:val="333333"/>
          <w:sz w:val="22"/>
        </w:rPr>
        <w:t>Native ADC integration via HL7 and ASTM.</w:t>
      </w:r>
    </w:p>
    <w:p>
      <w:pPr>
        <w:pStyle w:val="ListBullet"/>
        <w:spacing w:after="40"/>
        <w:ind w:left="360"/>
      </w:pPr>
      <w:r>
        <w:rPr>
          <w:color w:val="333333"/>
          <w:sz w:val="22"/>
        </w:rPr>
        <w:t>Drug interaction engine using a maintained, India-relevant database.</w:t>
      </w:r>
    </w:p>
    <w:p>
      <w:pPr>
        <w:pStyle w:val="ListBullet"/>
        <w:spacing w:after="40"/>
        <w:ind w:left="360"/>
      </w:pPr>
      <w:r>
        <w:rPr>
          <w:color w:val="333333"/>
          <w:sz w:val="22"/>
        </w:rPr>
        <w:t>Pharmacy KPI dashboard for the chief pharmacist — stock-out rate, expiry write-offs, GMROI, top movers.</w:t>
      </w:r>
    </w:p>
    <w:p>
      <w:r>
        <w:br w:type="page"/>
      </w:r>
    </w:p>
    <w:p>
      <w:pPr>
        <w:keepNext/>
        <w:spacing w:before="360" w:after="160"/>
        <w:pBdr>
          <w:bottom w:val="single" w:sz="12" w:space="4" w:color="008496"/>
        </w:pBdr>
      </w:pPr>
      <w:r>
        <w:rPr>
          <w:b/>
          <w:color w:val="0B2A4A"/>
          <w:sz w:val="44"/>
        </w:rPr>
        <w:t>9. Module 6 — Billing Engine</w:t>
      </w:r>
    </w:p>
    <w:p>
      <w:pPr>
        <w:keepNext/>
        <w:spacing w:before="280" w:after="120"/>
      </w:pPr>
      <w:r>
        <w:rPr>
          <w:b/>
          <w:color w:val="0B2A4A"/>
          <w:sz w:val="32"/>
        </w:rPr>
        <w:t>9.1 What this module owns</w:t>
      </w:r>
    </w:p>
    <w:p>
      <w:pPr>
        <w:spacing w:after="80" w:lineRule="auto" w:line="276"/>
      </w:pPr>
      <w:r>
        <w:rPr>
          <w:color w:val="333333"/>
          <w:sz w:val="22"/>
        </w:rPr>
        <w:t>Charge capture, tariff management, package billing, IPD running bills, OPD bills, lab bills, pharmacy bills, OT bills, room rent, doctor fees, consumables, implants, multi-tariff (cash, corporate, TPA, govt scheme, package), discounts, approvals, GST handling, TDS, advances, refunds, settlement, claim creation, and the hand-off to Finance &amp; Accounting.</w:t>
      </w:r>
    </w:p>
    <w:p>
      <w:pPr>
        <w:keepNext/>
        <w:spacing w:before="280" w:after="120"/>
      </w:pPr>
      <w:r>
        <w:rPr>
          <w:b/>
          <w:color w:val="0B2A4A"/>
          <w:sz w:val="32"/>
        </w:rPr>
        <w:t>9.2 Industry-grade feature set</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168"/>
            <w:shd w:val="clear" w:color="auto" w:fill="0B2A4A"/>
          </w:tcPr>
          <w:p>
            <w:pPr>
              <w:spacing w:after="40"/>
            </w:pPr>
            <w:r>
              <w:rPr>
                <w:b/>
                <w:color w:val="FFFFFF"/>
                <w:sz w:val="21"/>
              </w:rPr>
              <w:t>Feature</w:t>
            </w:r>
          </w:p>
        </w:tc>
        <w:tc>
          <w:tcPr>
            <w:tcW w:type="dxa" w:w="6336"/>
            <w:shd w:val="clear" w:color="auto" w:fill="0B2A4A"/>
          </w:tcPr>
          <w:p>
            <w:pPr>
              <w:spacing w:after="40"/>
            </w:pPr>
            <w:r>
              <w:rPr>
                <w:b/>
                <w:color w:val="FFFFFF"/>
                <w:sz w:val="21"/>
              </w:rPr>
              <w:t>What it does</w:t>
            </w:r>
          </w:p>
        </w:tc>
      </w:tr>
      <w:tr>
        <w:tc>
          <w:tcPr>
            <w:tcW w:type="dxa" w:w="3168"/>
          </w:tcPr>
          <w:p>
            <w:pPr>
              <w:spacing w:after="40"/>
            </w:pPr>
            <w:r>
              <w:rPr>
                <w:color w:val="333333"/>
                <w:sz w:val="20"/>
              </w:rPr>
              <w:t>Tariff master</w:t>
            </w:r>
          </w:p>
        </w:tc>
        <w:tc>
          <w:tcPr>
            <w:tcW w:type="dxa" w:w="6336"/>
          </w:tcPr>
          <w:p>
            <w:pPr>
              <w:spacing w:after="40"/>
            </w:pPr>
            <w:r>
              <w:rPr>
                <w:color w:val="333333"/>
                <w:sz w:val="20"/>
              </w:rPr>
              <w:t>Multiple tariff sets per service: cash, corporate A/B/C, CGHS, ESI, ECHS, TPA-X, package, international.</w:t>
            </w:r>
          </w:p>
        </w:tc>
      </w:tr>
      <w:tr>
        <w:tc>
          <w:tcPr>
            <w:tcW w:type="dxa" w:w="3168"/>
            <w:shd w:val="clear" w:color="auto" w:fill="F7F9FB"/>
          </w:tcPr>
          <w:p>
            <w:pPr>
              <w:spacing w:after="40"/>
            </w:pPr>
            <w:r>
              <w:rPr>
                <w:color w:val="333333"/>
                <w:sz w:val="20"/>
              </w:rPr>
              <w:t>Charge capture</w:t>
            </w:r>
          </w:p>
        </w:tc>
        <w:tc>
          <w:tcPr>
            <w:tcW w:type="dxa" w:w="6336"/>
            <w:shd w:val="clear" w:color="auto" w:fill="F7F9FB"/>
          </w:tcPr>
          <w:p>
            <w:pPr>
              <w:spacing w:after="40"/>
            </w:pPr>
            <w:r>
              <w:rPr>
                <w:color w:val="333333"/>
                <w:sz w:val="20"/>
              </w:rPr>
              <w:t>Auto from EMR, lab, pharmacy, OT, nursing — no manual entry.</w:t>
            </w:r>
          </w:p>
        </w:tc>
      </w:tr>
      <w:tr>
        <w:tc>
          <w:tcPr>
            <w:tcW w:type="dxa" w:w="3168"/>
          </w:tcPr>
          <w:p>
            <w:pPr>
              <w:spacing w:after="40"/>
            </w:pPr>
            <w:r>
              <w:rPr>
                <w:color w:val="333333"/>
                <w:sz w:val="20"/>
              </w:rPr>
              <w:t>Package billing</w:t>
            </w:r>
          </w:p>
        </w:tc>
        <w:tc>
          <w:tcPr>
            <w:tcW w:type="dxa" w:w="6336"/>
          </w:tcPr>
          <w:p>
            <w:pPr>
              <w:spacing w:after="40"/>
            </w:pPr>
            <w:r>
              <w:rPr>
                <w:color w:val="333333"/>
                <w:sz w:val="20"/>
              </w:rPr>
              <w:t>Cardiac angio, knee replacement, normal delivery — fixed price packages with inclusions/exclusions.</w:t>
            </w:r>
          </w:p>
        </w:tc>
      </w:tr>
      <w:tr>
        <w:tc>
          <w:tcPr>
            <w:tcW w:type="dxa" w:w="3168"/>
            <w:shd w:val="clear" w:color="auto" w:fill="F7F9FB"/>
          </w:tcPr>
          <w:p>
            <w:pPr>
              <w:spacing w:after="40"/>
            </w:pPr>
            <w:r>
              <w:rPr>
                <w:color w:val="333333"/>
                <w:sz w:val="20"/>
              </w:rPr>
              <w:t>IPD running bill</w:t>
            </w:r>
          </w:p>
        </w:tc>
        <w:tc>
          <w:tcPr>
            <w:tcW w:type="dxa" w:w="6336"/>
            <w:shd w:val="clear" w:color="auto" w:fill="F7F9FB"/>
          </w:tcPr>
          <w:p>
            <w:pPr>
              <w:spacing w:after="40"/>
            </w:pPr>
            <w:r>
              <w:rPr>
                <w:color w:val="333333"/>
                <w:sz w:val="20"/>
              </w:rPr>
              <w:t>Live deposit vs charges meter; alerts at 80%/100% of deposit.</w:t>
            </w:r>
          </w:p>
        </w:tc>
      </w:tr>
      <w:tr>
        <w:tc>
          <w:tcPr>
            <w:tcW w:type="dxa" w:w="3168"/>
          </w:tcPr>
          <w:p>
            <w:pPr>
              <w:spacing w:after="40"/>
            </w:pPr>
            <w:r>
              <w:rPr>
                <w:color w:val="333333"/>
                <w:sz w:val="20"/>
              </w:rPr>
              <w:t>Estimate generator</w:t>
            </w:r>
          </w:p>
        </w:tc>
        <w:tc>
          <w:tcPr>
            <w:tcW w:type="dxa" w:w="6336"/>
          </w:tcPr>
          <w:p>
            <w:pPr>
              <w:spacing w:after="40"/>
            </w:pPr>
            <w:r>
              <w:rPr>
                <w:color w:val="333333"/>
                <w:sz w:val="20"/>
              </w:rPr>
              <w:t>AI-driven estimate for surgery / IPD; updated as actual care diverges.</w:t>
            </w:r>
          </w:p>
        </w:tc>
      </w:tr>
      <w:tr>
        <w:tc>
          <w:tcPr>
            <w:tcW w:type="dxa" w:w="3168"/>
            <w:shd w:val="clear" w:color="auto" w:fill="F7F9FB"/>
          </w:tcPr>
          <w:p>
            <w:pPr>
              <w:spacing w:after="40"/>
            </w:pPr>
            <w:r>
              <w:rPr>
                <w:color w:val="333333"/>
                <w:sz w:val="20"/>
              </w:rPr>
              <w:t>Discount workflow</w:t>
            </w:r>
          </w:p>
        </w:tc>
        <w:tc>
          <w:tcPr>
            <w:tcW w:type="dxa" w:w="6336"/>
            <w:shd w:val="clear" w:color="auto" w:fill="F7F9FB"/>
          </w:tcPr>
          <w:p>
            <w:pPr>
              <w:spacing w:after="40"/>
            </w:pPr>
            <w:r>
              <w:rPr>
                <w:color w:val="333333"/>
                <w:sz w:val="20"/>
              </w:rPr>
              <w:t>Tiered approvals (front desk → manager → MD); fully audited.</w:t>
            </w:r>
          </w:p>
        </w:tc>
      </w:tr>
      <w:tr>
        <w:tc>
          <w:tcPr>
            <w:tcW w:type="dxa" w:w="3168"/>
          </w:tcPr>
          <w:p>
            <w:pPr>
              <w:spacing w:after="40"/>
            </w:pPr>
            <w:r>
              <w:rPr>
                <w:color w:val="333333"/>
                <w:sz w:val="20"/>
              </w:rPr>
              <w:t>Advances &amp; refunds</w:t>
            </w:r>
          </w:p>
        </w:tc>
        <w:tc>
          <w:tcPr>
            <w:tcW w:type="dxa" w:w="6336"/>
          </w:tcPr>
          <w:p>
            <w:pPr>
              <w:spacing w:after="40"/>
            </w:pPr>
            <w:r>
              <w:rPr>
                <w:color w:val="333333"/>
                <w:sz w:val="20"/>
              </w:rPr>
              <w:t>Cash, card, UPI, NEFT, cheque; auto-reconciled with payment gateway.</w:t>
            </w:r>
          </w:p>
        </w:tc>
      </w:tr>
      <w:tr>
        <w:tc>
          <w:tcPr>
            <w:tcW w:type="dxa" w:w="3168"/>
            <w:shd w:val="clear" w:color="auto" w:fill="F7F9FB"/>
          </w:tcPr>
          <w:p>
            <w:pPr>
              <w:spacing w:after="40"/>
            </w:pPr>
            <w:r>
              <w:rPr>
                <w:color w:val="333333"/>
                <w:sz w:val="20"/>
              </w:rPr>
              <w:t>GST + TDS</w:t>
            </w:r>
          </w:p>
        </w:tc>
        <w:tc>
          <w:tcPr>
            <w:tcW w:type="dxa" w:w="6336"/>
            <w:shd w:val="clear" w:color="auto" w:fill="F7F9FB"/>
          </w:tcPr>
          <w:p>
            <w:pPr>
              <w:spacing w:after="40"/>
            </w:pPr>
            <w:r>
              <w:rPr>
                <w:color w:val="333333"/>
                <w:sz w:val="20"/>
              </w:rPr>
              <w:t>Healthcare exemption + non-exempt services (&gt;5000/day rooms = 5% GST), Sec 194J 10% on doctor fees.</w:t>
            </w:r>
          </w:p>
        </w:tc>
      </w:tr>
      <w:tr>
        <w:tc>
          <w:tcPr>
            <w:tcW w:type="dxa" w:w="3168"/>
          </w:tcPr>
          <w:p>
            <w:pPr>
              <w:spacing w:after="40"/>
            </w:pPr>
            <w:r>
              <w:rPr>
                <w:color w:val="333333"/>
                <w:sz w:val="20"/>
              </w:rPr>
              <w:t>TPA / cashless workflow</w:t>
            </w:r>
          </w:p>
        </w:tc>
        <w:tc>
          <w:tcPr>
            <w:tcW w:type="dxa" w:w="6336"/>
          </w:tcPr>
          <w:p>
            <w:pPr>
              <w:spacing w:after="40"/>
            </w:pPr>
            <w:r>
              <w:rPr>
                <w:color w:val="333333"/>
                <w:sz w:val="20"/>
              </w:rPr>
              <w:t>Pre-auth, enhancement, query response, claim, settlement — full lifecycle.</w:t>
            </w:r>
          </w:p>
        </w:tc>
      </w:tr>
      <w:tr>
        <w:tc>
          <w:tcPr>
            <w:tcW w:type="dxa" w:w="3168"/>
            <w:shd w:val="clear" w:color="auto" w:fill="F7F9FB"/>
          </w:tcPr>
          <w:p>
            <w:pPr>
              <w:spacing w:after="40"/>
            </w:pPr>
            <w:r>
              <w:rPr>
                <w:color w:val="333333"/>
                <w:sz w:val="20"/>
              </w:rPr>
              <w:t>Government scheme billing</w:t>
            </w:r>
          </w:p>
        </w:tc>
        <w:tc>
          <w:tcPr>
            <w:tcW w:type="dxa" w:w="6336"/>
            <w:shd w:val="clear" w:color="auto" w:fill="F7F9FB"/>
          </w:tcPr>
          <w:p>
            <w:pPr>
              <w:spacing w:after="40"/>
            </w:pPr>
            <w:r>
              <w:rPr>
                <w:color w:val="333333"/>
                <w:sz w:val="20"/>
              </w:rPr>
              <w:t>PMJAY, Aarogyasri, MJPJAY, Bhamashah, ESI, ECHS, CGHS — scheme-specific rate cards.</w:t>
            </w:r>
          </w:p>
        </w:tc>
      </w:tr>
      <w:tr>
        <w:tc>
          <w:tcPr>
            <w:tcW w:type="dxa" w:w="3168"/>
          </w:tcPr>
          <w:p>
            <w:pPr>
              <w:spacing w:after="40"/>
            </w:pPr>
            <w:r>
              <w:rPr>
                <w:color w:val="333333"/>
                <w:sz w:val="20"/>
              </w:rPr>
              <w:t>Multi-currency</w:t>
            </w:r>
          </w:p>
        </w:tc>
        <w:tc>
          <w:tcPr>
            <w:tcW w:type="dxa" w:w="6336"/>
          </w:tcPr>
          <w:p>
            <w:pPr>
              <w:spacing w:after="40"/>
            </w:pPr>
            <w:r>
              <w:rPr>
                <w:color w:val="333333"/>
                <w:sz w:val="20"/>
              </w:rPr>
              <w:t>International patients — bill in USD/AED/GBP, settle in INR with FX.</w:t>
            </w:r>
          </w:p>
        </w:tc>
      </w:tr>
      <w:tr>
        <w:tc>
          <w:tcPr>
            <w:tcW w:type="dxa" w:w="3168"/>
            <w:shd w:val="clear" w:color="auto" w:fill="F7F9FB"/>
          </w:tcPr>
          <w:p>
            <w:pPr>
              <w:spacing w:after="40"/>
            </w:pPr>
            <w:r>
              <w:rPr>
                <w:color w:val="333333"/>
                <w:sz w:val="20"/>
              </w:rPr>
              <w:t>Final bill</w:t>
            </w:r>
          </w:p>
        </w:tc>
        <w:tc>
          <w:tcPr>
            <w:tcW w:type="dxa" w:w="6336"/>
            <w:shd w:val="clear" w:color="auto" w:fill="F7F9FB"/>
          </w:tcPr>
          <w:p>
            <w:pPr>
              <w:spacing w:after="40"/>
            </w:pPr>
            <w:r>
              <w:rPr>
                <w:color w:val="333333"/>
                <w:sz w:val="20"/>
              </w:rPr>
              <w:t>Auto-consolidated at discharge with running totals, deposits, refunds, TDS.</w:t>
            </w:r>
          </w:p>
        </w:tc>
      </w:tr>
      <w:tr>
        <w:tc>
          <w:tcPr>
            <w:tcW w:type="dxa" w:w="3168"/>
          </w:tcPr>
          <w:p>
            <w:pPr>
              <w:spacing w:after="40"/>
            </w:pPr>
            <w:r>
              <w:rPr>
                <w:color w:val="333333"/>
                <w:sz w:val="20"/>
              </w:rPr>
              <w:t>Credit notes &amp; write-offs</w:t>
            </w:r>
          </w:p>
        </w:tc>
        <w:tc>
          <w:tcPr>
            <w:tcW w:type="dxa" w:w="6336"/>
          </w:tcPr>
          <w:p>
            <w:pPr>
              <w:spacing w:after="40"/>
            </w:pPr>
            <w:r>
              <w:rPr>
                <w:color w:val="333333"/>
                <w:sz w:val="20"/>
              </w:rPr>
              <w:t>Audit-trailed, approval-driven, hits the GL correctly.</w:t>
            </w:r>
          </w:p>
        </w:tc>
      </w:tr>
    </w:tbl>
    <w:p>
      <w:pPr>
        <w:spacing w:after="40"/>
      </w:pPr>
    </w:p>
    <w:p>
      <w:pPr>
        <w:keepNext/>
        <w:spacing w:before="280" w:after="120"/>
      </w:pPr>
      <w:r>
        <w:rPr>
          <w:b/>
          <w:color w:val="0B2A4A"/>
          <w:sz w:val="32"/>
        </w:rPr>
        <w:t>9.3 Where competitors fail</w:t>
      </w:r>
    </w:p>
    <w:p>
      <w:pPr>
        <w:pStyle w:val="ListBullet"/>
        <w:spacing w:after="40"/>
        <w:ind w:left="360"/>
      </w:pPr>
      <w:r>
        <w:rPr>
          <w:color w:val="333333"/>
          <w:sz w:val="22"/>
        </w:rPr>
        <w:t>Multi-tariff is a nightmare in most products — hospitals end up with Excel sheets and manual overrides.</w:t>
      </w:r>
    </w:p>
    <w:p>
      <w:pPr>
        <w:pStyle w:val="ListBullet"/>
        <w:spacing w:after="40"/>
        <w:ind w:left="360"/>
      </w:pPr>
      <w:r>
        <w:rPr>
          <w:color w:val="333333"/>
          <w:sz w:val="22"/>
        </w:rPr>
        <w:t>Package billing usually breaks at the exclusions edge — implant overruns, extra ICU days, blood units.</w:t>
      </w:r>
    </w:p>
    <w:p>
      <w:pPr>
        <w:pStyle w:val="ListBullet"/>
        <w:spacing w:after="40"/>
        <w:ind w:left="360"/>
      </w:pPr>
      <w:r>
        <w:rPr>
          <w:color w:val="333333"/>
          <w:sz w:val="22"/>
        </w:rPr>
        <w:t>Estimates are static PDFs. They don't get updated. Patients get angry at the final bill.</w:t>
      </w:r>
    </w:p>
    <w:p>
      <w:pPr>
        <w:pStyle w:val="ListBullet"/>
        <w:spacing w:after="40"/>
        <w:ind w:left="360"/>
      </w:pPr>
      <w:r>
        <w:rPr>
          <w:color w:val="333333"/>
          <w:sz w:val="22"/>
        </w:rPr>
        <w:t>TPA workflow is half-built; pre-auth + enhancement + claim are usually three different screens with no link.</w:t>
      </w:r>
    </w:p>
    <w:p>
      <w:pPr>
        <w:pStyle w:val="ListBullet"/>
        <w:spacing w:after="40"/>
        <w:ind w:left="360"/>
      </w:pPr>
      <w:r>
        <w:rPr>
          <w:color w:val="333333"/>
          <w:sz w:val="22"/>
        </w:rPr>
        <w:t>GST + TDS is implemented inconsistently. Healthcare is mostly exempt but has critical exceptions that get missed.</w:t>
      </w:r>
    </w:p>
    <w:p>
      <w:pPr>
        <w:keepNext/>
        <w:spacing w:before="280" w:after="120"/>
      </w:pPr>
      <w:r>
        <w:rPr>
          <w:b/>
          <w:color w:val="0B2A4A"/>
          <w:sz w:val="32"/>
        </w:rPr>
        <w:t>9.4 HospitalOS differentiators</w:t>
      </w:r>
    </w:p>
    <w:p>
      <w:pPr>
        <w:pStyle w:val="ListBullet"/>
        <w:spacing w:after="40"/>
        <w:ind w:left="360"/>
      </w:pPr>
      <w:r>
        <w:rPr>
          <w:color w:val="333333"/>
          <w:sz w:val="22"/>
        </w:rPr>
        <w:t>Smart tariff resolver — automatically picks the right rate for the right service for the right payer.</w:t>
      </w:r>
    </w:p>
    <w:p>
      <w:pPr>
        <w:pStyle w:val="ListBullet"/>
        <w:spacing w:after="40"/>
        <w:ind w:left="360"/>
      </w:pPr>
      <w:r>
        <w:rPr>
          <w:color w:val="333333"/>
          <w:sz w:val="22"/>
        </w:rPr>
        <w:t>Live IPD bill that matches the discharge bill to the rupee. No surprise spikes.</w:t>
      </w:r>
    </w:p>
    <w:p>
      <w:pPr>
        <w:pStyle w:val="ListBullet"/>
        <w:spacing w:after="40"/>
        <w:ind w:left="360"/>
      </w:pPr>
      <w:r>
        <w:rPr>
          <w:color w:val="333333"/>
          <w:sz w:val="22"/>
        </w:rPr>
        <w:t>AI-driven dynamic estimate that updates as care progresses.</w:t>
      </w:r>
    </w:p>
    <w:p>
      <w:pPr>
        <w:pStyle w:val="ListBullet"/>
        <w:spacing w:after="40"/>
        <w:ind w:left="360"/>
      </w:pPr>
      <w:r>
        <w:rPr>
          <w:color w:val="333333"/>
          <w:sz w:val="22"/>
        </w:rPr>
        <w:t>End-to-end TPA workflow — pre-auth, enhancement, query, claim, payment, denial, appeal — single screen.</w:t>
      </w:r>
    </w:p>
    <w:p>
      <w:pPr>
        <w:pStyle w:val="ListBullet"/>
        <w:spacing w:after="40"/>
        <w:ind w:left="360"/>
      </w:pPr>
      <w:r>
        <w:rPr>
          <w:color w:val="333333"/>
          <w:sz w:val="22"/>
        </w:rPr>
        <w:t>Built-in GST exemption logic that knows healthcare-exempt vs non-exempt vs GTA vs cosmetic services.</w:t>
      </w:r>
    </w:p>
    <w:p>
      <w:pPr>
        <w:pStyle w:val="ListBullet"/>
        <w:spacing w:after="40"/>
        <w:ind w:left="360"/>
      </w:pPr>
      <w:r>
        <w:rPr>
          <w:color w:val="333333"/>
          <w:sz w:val="22"/>
        </w:rPr>
        <w:t>Direct, real-time hand-off of every charge to the Finance &amp; Accounting GL — no batch jobs, no missed entries.</w:t>
      </w:r>
    </w:p>
    <w:p>
      <w:r>
        <w:br w:type="page"/>
      </w:r>
    </w:p>
    <w:p>
      <w:pPr>
        <w:keepNext/>
        <w:spacing w:before="360" w:after="160"/>
        <w:pBdr>
          <w:bottom w:val="single" w:sz="12" w:space="4" w:color="008496"/>
        </w:pBdr>
      </w:pPr>
      <w:r>
        <w:rPr>
          <w:b/>
          <w:color w:val="0B2A4A"/>
          <w:sz w:val="44"/>
        </w:rPr>
        <w:t>10. Module 7 — Inventory System</w:t>
      </w:r>
    </w:p>
    <w:p>
      <w:pPr>
        <w:keepNext/>
        <w:spacing w:before="280" w:after="120"/>
      </w:pPr>
      <w:r>
        <w:rPr>
          <w:b/>
          <w:color w:val="0B2A4A"/>
          <w:sz w:val="32"/>
        </w:rPr>
        <w:t>10.1 What this module owns</w:t>
      </w:r>
    </w:p>
    <w:p>
      <w:pPr>
        <w:spacing w:after="80" w:lineRule="auto" w:line="276"/>
      </w:pPr>
      <w:r>
        <w:rPr>
          <w:color w:val="333333"/>
          <w:sz w:val="22"/>
        </w:rPr>
        <w:t>All hospital materials: pharmacy stock, surgical consumables, implants, lab reagents, linen, stationery, F&amp;B, biomedical equipment, fixed assets, capital spares. Receipts (GRN), issues, transfers, returns, write-offs, physical counts, vendor management, purchase orders, and the link into Finance for inventory valuation.</w:t>
      </w:r>
    </w:p>
    <w:p>
      <w:pPr>
        <w:keepNext/>
        <w:spacing w:before="280" w:after="120"/>
      </w:pPr>
      <w:r>
        <w:rPr>
          <w:b/>
          <w:color w:val="0B2A4A"/>
          <w:sz w:val="32"/>
        </w:rPr>
        <w:t>10.2 Industry-grade feature set</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168"/>
            <w:shd w:val="clear" w:color="auto" w:fill="0B2A4A"/>
          </w:tcPr>
          <w:p>
            <w:pPr>
              <w:spacing w:after="40"/>
            </w:pPr>
            <w:r>
              <w:rPr>
                <w:b/>
                <w:color w:val="FFFFFF"/>
                <w:sz w:val="21"/>
              </w:rPr>
              <w:t>Feature</w:t>
            </w:r>
          </w:p>
        </w:tc>
        <w:tc>
          <w:tcPr>
            <w:tcW w:type="dxa" w:w="6336"/>
            <w:shd w:val="clear" w:color="auto" w:fill="0B2A4A"/>
          </w:tcPr>
          <w:p>
            <w:pPr>
              <w:spacing w:after="40"/>
            </w:pPr>
            <w:r>
              <w:rPr>
                <w:b/>
                <w:color w:val="FFFFFF"/>
                <w:sz w:val="21"/>
              </w:rPr>
              <w:t>What it does</w:t>
            </w:r>
          </w:p>
        </w:tc>
      </w:tr>
      <w:tr>
        <w:tc>
          <w:tcPr>
            <w:tcW w:type="dxa" w:w="3168"/>
          </w:tcPr>
          <w:p>
            <w:pPr>
              <w:spacing w:after="40"/>
            </w:pPr>
            <w:r>
              <w:rPr>
                <w:color w:val="333333"/>
                <w:sz w:val="20"/>
              </w:rPr>
              <w:t>Multi-store, multi-location</w:t>
            </w:r>
          </w:p>
        </w:tc>
        <w:tc>
          <w:tcPr>
            <w:tcW w:type="dxa" w:w="6336"/>
          </w:tcPr>
          <w:p>
            <w:pPr>
              <w:spacing w:after="40"/>
            </w:pPr>
            <w:r>
              <w:rPr>
                <w:color w:val="333333"/>
                <w:sz w:val="20"/>
              </w:rPr>
              <w:t>Central warehouse → branch store → ward sub-store → OT cart — full hierarchy.</w:t>
            </w:r>
          </w:p>
        </w:tc>
      </w:tr>
      <w:tr>
        <w:tc>
          <w:tcPr>
            <w:tcW w:type="dxa" w:w="3168"/>
            <w:shd w:val="clear" w:color="auto" w:fill="F7F9FB"/>
          </w:tcPr>
          <w:p>
            <w:pPr>
              <w:spacing w:after="40"/>
            </w:pPr>
            <w:r>
              <w:rPr>
                <w:color w:val="333333"/>
                <w:sz w:val="20"/>
              </w:rPr>
              <w:t>Item master</w:t>
            </w:r>
          </w:p>
        </w:tc>
        <w:tc>
          <w:tcPr>
            <w:tcW w:type="dxa" w:w="6336"/>
            <w:shd w:val="clear" w:color="auto" w:fill="F7F9FB"/>
          </w:tcPr>
          <w:p>
            <w:pPr>
              <w:spacing w:after="40"/>
            </w:pPr>
            <w:r>
              <w:rPr>
                <w:color w:val="333333"/>
                <w:sz w:val="20"/>
              </w:rPr>
              <w:t>Pharmacy, consumables, implants, reagents, linen, F&amp;B, fixed assets, capital spares.</w:t>
            </w:r>
          </w:p>
        </w:tc>
      </w:tr>
      <w:tr>
        <w:tc>
          <w:tcPr>
            <w:tcW w:type="dxa" w:w="3168"/>
          </w:tcPr>
          <w:p>
            <w:pPr>
              <w:spacing w:after="40"/>
            </w:pPr>
            <w:r>
              <w:rPr>
                <w:color w:val="333333"/>
                <w:sz w:val="20"/>
              </w:rPr>
              <w:t>Categories &amp; ABC analysis</w:t>
            </w:r>
          </w:p>
        </w:tc>
        <w:tc>
          <w:tcPr>
            <w:tcW w:type="dxa" w:w="6336"/>
          </w:tcPr>
          <w:p>
            <w:pPr>
              <w:spacing w:after="40"/>
            </w:pPr>
            <w:r>
              <w:rPr>
                <w:color w:val="333333"/>
                <w:sz w:val="20"/>
              </w:rPr>
              <w:t>A items (high value, tight control), B, C — automated reordering policy per class.</w:t>
            </w:r>
          </w:p>
        </w:tc>
      </w:tr>
      <w:tr>
        <w:tc>
          <w:tcPr>
            <w:tcW w:type="dxa" w:w="3168"/>
            <w:shd w:val="clear" w:color="auto" w:fill="F7F9FB"/>
          </w:tcPr>
          <w:p>
            <w:pPr>
              <w:spacing w:after="40"/>
            </w:pPr>
            <w:r>
              <w:rPr>
                <w:color w:val="333333"/>
                <w:sz w:val="20"/>
              </w:rPr>
              <w:t>Reorder logic</w:t>
            </w:r>
          </w:p>
        </w:tc>
        <w:tc>
          <w:tcPr>
            <w:tcW w:type="dxa" w:w="6336"/>
            <w:shd w:val="clear" w:color="auto" w:fill="F7F9FB"/>
          </w:tcPr>
          <w:p>
            <w:pPr>
              <w:spacing w:after="40"/>
            </w:pPr>
            <w:r>
              <w:rPr>
                <w:color w:val="333333"/>
                <w:sz w:val="20"/>
              </w:rPr>
              <w:t>EOQ, ROP, par level, min/max — auto-generated indents.</w:t>
            </w:r>
          </w:p>
        </w:tc>
      </w:tr>
      <w:tr>
        <w:tc>
          <w:tcPr>
            <w:tcW w:type="dxa" w:w="3168"/>
          </w:tcPr>
          <w:p>
            <w:pPr>
              <w:spacing w:after="40"/>
            </w:pPr>
            <w:r>
              <w:rPr>
                <w:color w:val="333333"/>
                <w:sz w:val="20"/>
              </w:rPr>
              <w:t>Three-way matching</w:t>
            </w:r>
          </w:p>
        </w:tc>
        <w:tc>
          <w:tcPr>
            <w:tcW w:type="dxa" w:w="6336"/>
          </w:tcPr>
          <w:p>
            <w:pPr>
              <w:spacing w:after="40"/>
            </w:pPr>
            <w:r>
              <w:rPr>
                <w:color w:val="333333"/>
                <w:sz w:val="20"/>
              </w:rPr>
              <w:t>PO + GRN + Vendor invoice → only then Finance pays. Mandatory for vendor compliance.</w:t>
            </w:r>
          </w:p>
        </w:tc>
      </w:tr>
      <w:tr>
        <w:tc>
          <w:tcPr>
            <w:tcW w:type="dxa" w:w="3168"/>
            <w:shd w:val="clear" w:color="auto" w:fill="F7F9FB"/>
          </w:tcPr>
          <w:p>
            <w:pPr>
              <w:spacing w:after="40"/>
            </w:pPr>
            <w:r>
              <w:rPr>
                <w:color w:val="333333"/>
                <w:sz w:val="20"/>
              </w:rPr>
              <w:t>Batch + expiry + serial</w:t>
            </w:r>
          </w:p>
        </w:tc>
        <w:tc>
          <w:tcPr>
            <w:tcW w:type="dxa" w:w="6336"/>
            <w:shd w:val="clear" w:color="auto" w:fill="F7F9FB"/>
          </w:tcPr>
          <w:p>
            <w:pPr>
              <w:spacing w:after="40"/>
            </w:pPr>
            <w:r>
              <w:rPr>
                <w:color w:val="333333"/>
                <w:sz w:val="20"/>
              </w:rPr>
              <w:t>Drugs with batch/expiry, implants with serial, equipment with asset tag.</w:t>
            </w:r>
          </w:p>
        </w:tc>
      </w:tr>
      <w:tr>
        <w:tc>
          <w:tcPr>
            <w:tcW w:type="dxa" w:w="3168"/>
          </w:tcPr>
          <w:p>
            <w:pPr>
              <w:spacing w:after="40"/>
            </w:pPr>
            <w:r>
              <w:rPr>
                <w:color w:val="333333"/>
                <w:sz w:val="20"/>
              </w:rPr>
              <w:t>Vendor management</w:t>
            </w:r>
          </w:p>
        </w:tc>
        <w:tc>
          <w:tcPr>
            <w:tcW w:type="dxa" w:w="6336"/>
          </w:tcPr>
          <w:p>
            <w:pPr>
              <w:spacing w:after="40"/>
            </w:pPr>
            <w:r>
              <w:rPr>
                <w:color w:val="333333"/>
                <w:sz w:val="20"/>
              </w:rPr>
              <w:t>Master, rate contracts, performance scoring, auto-blacklist on poor delivery/quality.</w:t>
            </w:r>
          </w:p>
        </w:tc>
      </w:tr>
      <w:tr>
        <w:tc>
          <w:tcPr>
            <w:tcW w:type="dxa" w:w="3168"/>
            <w:shd w:val="clear" w:color="auto" w:fill="F7F9FB"/>
          </w:tcPr>
          <w:p>
            <w:pPr>
              <w:spacing w:after="40"/>
            </w:pPr>
            <w:r>
              <w:rPr>
                <w:color w:val="333333"/>
                <w:sz w:val="20"/>
              </w:rPr>
              <w:t>Tendering / RFQ / e-auction</w:t>
            </w:r>
          </w:p>
        </w:tc>
        <w:tc>
          <w:tcPr>
            <w:tcW w:type="dxa" w:w="6336"/>
            <w:shd w:val="clear" w:color="auto" w:fill="F7F9FB"/>
          </w:tcPr>
          <w:p>
            <w:pPr>
              <w:spacing w:after="40"/>
            </w:pPr>
            <w:r>
              <w:rPr>
                <w:color w:val="333333"/>
                <w:sz w:val="20"/>
              </w:rPr>
              <w:t>For high-value capital and pharmacy contracts.</w:t>
            </w:r>
          </w:p>
        </w:tc>
      </w:tr>
      <w:tr>
        <w:tc>
          <w:tcPr>
            <w:tcW w:type="dxa" w:w="3168"/>
          </w:tcPr>
          <w:p>
            <w:pPr>
              <w:spacing w:after="40"/>
            </w:pPr>
            <w:r>
              <w:rPr>
                <w:color w:val="333333"/>
                <w:sz w:val="20"/>
              </w:rPr>
              <w:t>Implant tracking</w:t>
            </w:r>
          </w:p>
        </w:tc>
        <w:tc>
          <w:tcPr>
            <w:tcW w:type="dxa" w:w="6336"/>
          </w:tcPr>
          <w:p>
            <w:pPr>
              <w:spacing w:after="40"/>
            </w:pPr>
            <w:r>
              <w:rPr>
                <w:color w:val="333333"/>
                <w:sz w:val="20"/>
              </w:rPr>
              <w:t>Every implant has serial, lot, expiry, MRI compatibility, patient — recall-ready.</w:t>
            </w:r>
          </w:p>
        </w:tc>
      </w:tr>
      <w:tr>
        <w:tc>
          <w:tcPr>
            <w:tcW w:type="dxa" w:w="3168"/>
            <w:shd w:val="clear" w:color="auto" w:fill="F7F9FB"/>
          </w:tcPr>
          <w:p>
            <w:pPr>
              <w:spacing w:after="40"/>
            </w:pPr>
            <w:r>
              <w:rPr>
                <w:color w:val="333333"/>
                <w:sz w:val="20"/>
              </w:rPr>
              <w:t>Asset register</w:t>
            </w:r>
          </w:p>
        </w:tc>
        <w:tc>
          <w:tcPr>
            <w:tcW w:type="dxa" w:w="6336"/>
            <w:shd w:val="clear" w:color="auto" w:fill="F7F9FB"/>
          </w:tcPr>
          <w:p>
            <w:pPr>
              <w:spacing w:after="40"/>
            </w:pPr>
            <w:r>
              <w:rPr>
                <w:color w:val="333333"/>
                <w:sz w:val="20"/>
              </w:rPr>
              <w:t>Every CT, MRI, ventilator with cost, depreciation, AMC, calibration, downtime.</w:t>
            </w:r>
          </w:p>
        </w:tc>
      </w:tr>
      <w:tr>
        <w:tc>
          <w:tcPr>
            <w:tcW w:type="dxa" w:w="3168"/>
          </w:tcPr>
          <w:p>
            <w:pPr>
              <w:spacing w:after="40"/>
            </w:pPr>
            <w:r>
              <w:rPr>
                <w:color w:val="333333"/>
                <w:sz w:val="20"/>
              </w:rPr>
              <w:t>CMMS</w:t>
            </w:r>
          </w:p>
        </w:tc>
        <w:tc>
          <w:tcPr>
            <w:tcW w:type="dxa" w:w="6336"/>
          </w:tcPr>
          <w:p>
            <w:pPr>
              <w:spacing w:after="40"/>
            </w:pPr>
            <w:r>
              <w:rPr>
                <w:color w:val="333333"/>
                <w:sz w:val="20"/>
              </w:rPr>
              <w:t>Equipment maintenance — preventive + breakdown + AMC; targets 60–80% reduction in equipment downtime.</w:t>
            </w:r>
          </w:p>
        </w:tc>
      </w:tr>
      <w:tr>
        <w:tc>
          <w:tcPr>
            <w:tcW w:type="dxa" w:w="3168"/>
            <w:shd w:val="clear" w:color="auto" w:fill="F7F9FB"/>
          </w:tcPr>
          <w:p>
            <w:pPr>
              <w:spacing w:after="40"/>
            </w:pPr>
            <w:r>
              <w:rPr>
                <w:color w:val="333333"/>
                <w:sz w:val="20"/>
              </w:rPr>
              <w:t>Stock take &amp; cycle counts</w:t>
            </w:r>
          </w:p>
        </w:tc>
        <w:tc>
          <w:tcPr>
            <w:tcW w:type="dxa" w:w="6336"/>
            <w:shd w:val="clear" w:color="auto" w:fill="F7F9FB"/>
          </w:tcPr>
          <w:p>
            <w:pPr>
              <w:spacing w:after="40"/>
            </w:pPr>
            <w:r>
              <w:rPr>
                <w:color w:val="333333"/>
                <w:sz w:val="20"/>
              </w:rPr>
              <w:t>Mobile-driven, barcode scan, variance approval workflow.</w:t>
            </w:r>
          </w:p>
        </w:tc>
      </w:tr>
      <w:tr>
        <w:tc>
          <w:tcPr>
            <w:tcW w:type="dxa" w:w="3168"/>
          </w:tcPr>
          <w:p>
            <w:pPr>
              <w:spacing w:after="40"/>
            </w:pPr>
            <w:r>
              <w:rPr>
                <w:color w:val="333333"/>
                <w:sz w:val="20"/>
              </w:rPr>
              <w:t>Inventory valuation</w:t>
            </w:r>
          </w:p>
        </w:tc>
        <w:tc>
          <w:tcPr>
            <w:tcW w:type="dxa" w:w="6336"/>
          </w:tcPr>
          <w:p>
            <w:pPr>
              <w:spacing w:after="40"/>
            </w:pPr>
            <w:r>
              <w:rPr>
                <w:color w:val="333333"/>
                <w:sz w:val="20"/>
              </w:rPr>
              <w:t>Moving average, FIFO, weighted average — feeds the GL nightly.</w:t>
            </w:r>
          </w:p>
        </w:tc>
      </w:tr>
      <w:tr>
        <w:tc>
          <w:tcPr>
            <w:tcW w:type="dxa" w:w="3168"/>
            <w:shd w:val="clear" w:color="auto" w:fill="F7F9FB"/>
          </w:tcPr>
          <w:p>
            <w:pPr>
              <w:spacing w:after="40"/>
            </w:pPr>
            <w:r>
              <w:rPr>
                <w:color w:val="333333"/>
                <w:sz w:val="20"/>
              </w:rPr>
              <w:t>Stock KPIs</w:t>
            </w:r>
          </w:p>
        </w:tc>
        <w:tc>
          <w:tcPr>
            <w:tcW w:type="dxa" w:w="6336"/>
            <w:shd w:val="clear" w:color="auto" w:fill="F7F9FB"/>
          </w:tcPr>
          <w:p>
            <w:pPr>
              <w:spacing w:after="40"/>
            </w:pPr>
            <w:r>
              <w:rPr>
                <w:color w:val="333333"/>
                <w:sz w:val="20"/>
              </w:rPr>
              <w:t>Inventory turns, days of supply, stock-out rate, expiry write-offs, GMROI.</w:t>
            </w:r>
          </w:p>
        </w:tc>
      </w:tr>
    </w:tbl>
    <w:p>
      <w:pPr>
        <w:spacing w:after="40"/>
      </w:pPr>
    </w:p>
    <w:p>
      <w:pPr>
        <w:keepNext/>
        <w:spacing w:before="280" w:after="120"/>
      </w:pPr>
      <w:r>
        <w:rPr>
          <w:b/>
          <w:color w:val="0B2A4A"/>
          <w:sz w:val="32"/>
        </w:rPr>
        <w:t>10.3 Where competitors fail</w:t>
      </w:r>
    </w:p>
    <w:p>
      <w:pPr>
        <w:pStyle w:val="ListBullet"/>
        <w:spacing w:after="40"/>
        <w:ind w:left="360"/>
      </w:pPr>
      <w:r>
        <w:rPr>
          <w:color w:val="333333"/>
          <w:sz w:val="22"/>
        </w:rPr>
        <w:t>Most HMSes treat pharmacy stock and surgical consumables as separate islands — leads to massive duplication.</w:t>
      </w:r>
    </w:p>
    <w:p>
      <w:pPr>
        <w:pStyle w:val="ListBullet"/>
        <w:spacing w:after="40"/>
        <w:ind w:left="360"/>
      </w:pPr>
      <w:r>
        <w:rPr>
          <w:color w:val="333333"/>
          <w:sz w:val="22"/>
        </w:rPr>
        <w:t>Three-way matching is rarely enforced — vendor frauds pile up.</w:t>
      </w:r>
    </w:p>
    <w:p>
      <w:pPr>
        <w:pStyle w:val="ListBullet"/>
        <w:spacing w:after="40"/>
        <w:ind w:left="360"/>
      </w:pPr>
      <w:r>
        <w:rPr>
          <w:color w:val="333333"/>
          <w:sz w:val="22"/>
        </w:rPr>
        <w:t>Implant tracking is missing — when a recall hits, hospitals can't identify affected patients.</w:t>
      </w:r>
    </w:p>
    <w:p>
      <w:pPr>
        <w:pStyle w:val="ListBullet"/>
        <w:spacing w:after="40"/>
        <w:ind w:left="360"/>
      </w:pPr>
      <w:r>
        <w:rPr>
          <w:color w:val="333333"/>
          <w:sz w:val="22"/>
        </w:rPr>
        <w:t>CMMS / equipment maintenance is a separate product — usually third-party.</w:t>
      </w:r>
    </w:p>
    <w:p>
      <w:pPr>
        <w:pStyle w:val="ListBullet"/>
        <w:spacing w:after="40"/>
        <w:ind w:left="360"/>
      </w:pPr>
      <w:r>
        <w:rPr>
          <w:color w:val="333333"/>
          <w:sz w:val="22"/>
        </w:rPr>
        <w:t>Inventory valuation does NOT flow into accounting cleanly — month-end closing breaks.</w:t>
      </w:r>
    </w:p>
    <w:p>
      <w:pPr>
        <w:keepNext/>
        <w:spacing w:before="280" w:after="120"/>
      </w:pPr>
      <w:r>
        <w:rPr>
          <w:b/>
          <w:color w:val="0B2A4A"/>
          <w:sz w:val="32"/>
        </w:rPr>
        <w:t>10.4 HospitalOS differentiators</w:t>
      </w:r>
    </w:p>
    <w:p>
      <w:pPr>
        <w:pStyle w:val="ListBullet"/>
        <w:spacing w:after="40"/>
        <w:ind w:left="360"/>
      </w:pPr>
      <w:r>
        <w:rPr>
          <w:color w:val="333333"/>
          <w:sz w:val="22"/>
        </w:rPr>
        <w:t>One inventory system across pharmacy, consumables, implants, F&amp;B, linen, fixed assets.</w:t>
      </w:r>
    </w:p>
    <w:p>
      <w:pPr>
        <w:pStyle w:val="ListBullet"/>
        <w:spacing w:after="40"/>
        <w:ind w:left="360"/>
      </w:pPr>
      <w:r>
        <w:rPr>
          <w:color w:val="333333"/>
          <w:sz w:val="22"/>
        </w:rPr>
        <w:t>Three-way matching is mandatory and automated.</w:t>
      </w:r>
    </w:p>
    <w:p>
      <w:pPr>
        <w:pStyle w:val="ListBullet"/>
        <w:spacing w:after="40"/>
        <w:ind w:left="360"/>
      </w:pPr>
      <w:r>
        <w:rPr>
          <w:color w:val="333333"/>
          <w:sz w:val="22"/>
        </w:rPr>
        <w:t>Implant + serial tracking with patient linkage — recall workflow in one click.</w:t>
      </w:r>
    </w:p>
    <w:p>
      <w:pPr>
        <w:pStyle w:val="ListBullet"/>
        <w:spacing w:after="40"/>
        <w:ind w:left="360"/>
      </w:pPr>
      <w:r>
        <w:rPr>
          <w:color w:val="333333"/>
          <w:sz w:val="22"/>
        </w:rPr>
        <w:t>Built-in CMMS with PM/BM/AMC tracking and equipment uptime KPIs.</w:t>
      </w:r>
    </w:p>
    <w:p>
      <w:pPr>
        <w:pStyle w:val="ListBullet"/>
        <w:spacing w:after="40"/>
        <w:ind w:left="360"/>
      </w:pPr>
      <w:r>
        <w:rPr>
          <w:color w:val="333333"/>
          <w:sz w:val="22"/>
        </w:rPr>
        <w:t>Real-time inventory valuation streaming into the GL — closes in 3 days, not 3 weeks.</w:t>
      </w:r>
    </w:p>
    <w:p>
      <w:r>
        <w:br w:type="page"/>
      </w:r>
    </w:p>
    <w:p>
      <w:pPr>
        <w:keepNext/>
        <w:spacing w:before="360" w:after="160"/>
        <w:pBdr>
          <w:bottom w:val="single" w:sz="12" w:space="4" w:color="008496"/>
        </w:pBdr>
      </w:pPr>
      <w:r>
        <w:rPr>
          <w:b/>
          <w:color w:val="0B2A4A"/>
          <w:sz w:val="44"/>
        </w:rPr>
        <w:t>11. Module 8 — Finance &amp; Accounting (DEEP DIVE)</w:t>
      </w:r>
    </w:p>
    <w:tbl>
      <w:tblPr>
        <w:tblW w:type="auto" w:w="0"/>
        <w:jc w:val="left"/>
        <w:tblLayout w:type="fixed"/>
        <w:tblLook w:firstColumn="1" w:firstRow="1" w:lastColumn="0" w:lastRow="0" w:noHBand="0" w:noVBand="1" w:val="04A0"/>
      </w:tblPr>
      <w:tblGrid>
        <w:gridCol w:w="9648"/>
      </w:tblGrid>
      <w:tr>
        <w:tc>
          <w:tcPr>
            <w:tcW w:type="dxa" w:w="9504"/>
            <w:shd w:val="clear" w:color="auto" w:fill="FFF1E5"/>
            <w:tcBorders>
              <w:top w:val="single" w:sz="8" w:space="0" w:color="E86A1F"/>
              <w:left w:val="single" w:sz="24" w:space="0" w:color="E86A1F"/>
              <w:bottom w:val="single" w:sz="8" w:space="0" w:color="E86A1F"/>
              <w:right w:val="single" w:sz="8" w:space="0" w:color="E86A1F"/>
            </w:tcBorders>
          </w:tcPr>
          <w:p>
            <w:pPr>
              <w:spacing w:after="40"/>
            </w:pPr>
            <w:r>
              <w:rPr>
                <w:b/>
                <w:color w:val="0B2A4A"/>
                <w:sz w:val="22"/>
              </w:rPr>
              <w:t>This is the most important chapter in the document</w:t>
            </w:r>
          </w:p>
          <w:p>
            <w:pPr>
              <w:spacing w:after="40"/>
            </w:pPr>
            <w:r>
              <w:rPr>
                <w:color w:val="333333"/>
                <w:sz w:val="20"/>
              </w:rPr>
              <w:t>Per the brief, finance is THE focus area. This is where HospitalOS will beat Birlamedisoft, Suvarna, MocCare, Insta, Akhil, and even global ERP add-ons. The hospital CFO is the buyer that nobody serves well today.</w:t>
            </w:r>
          </w:p>
        </w:tc>
      </w:tr>
    </w:tbl>
    <w:p>
      <w:pPr>
        <w:spacing w:after="40"/>
      </w:pPr>
    </w:p>
    <w:p>
      <w:pPr>
        <w:keepNext/>
        <w:spacing w:before="280" w:after="120"/>
      </w:pPr>
      <w:r>
        <w:rPr>
          <w:b/>
          <w:color w:val="0B2A4A"/>
          <w:sz w:val="32"/>
        </w:rPr>
        <w:t>11.1 The problem with HMS finance today</w:t>
      </w:r>
    </w:p>
    <w:p>
      <w:pPr>
        <w:spacing w:after="80" w:lineRule="auto" w:line="276"/>
      </w:pPr>
      <w:r>
        <w:rPr>
          <w:color w:val="333333"/>
          <w:sz w:val="22"/>
        </w:rPr>
        <w:t>Almost every hospital in India runs two parallel systems: an HMS for clinical and billing operations, and Tally Prime for accounting. The two are reconciled manually, every month, by an army of accountants. The result is: revenue leakage (industry average 8–12%), late month-end closing (3–6 weeks instead of 3–5 days), broken inventory valuation, audit pain, NABH non-compliance, and a CFO that doesn't trust their own numbers.</w:t>
      </w:r>
    </w:p>
    <w:p>
      <w:pPr>
        <w:spacing w:after="80" w:lineRule="auto" w:line="276"/>
      </w:pPr>
      <w:r>
        <w:rPr>
          <w:color w:val="333333"/>
          <w:sz w:val="22"/>
        </w:rPr>
        <w:t>HospitalOS solves this by being the first HMS in India that is also a real accounting system. Not a billing system that exports CSVs to Tally. A real accounting system, with double-entry bookkeeping, GL, AP, AR, cost centers, trial balance, P&amp;L, balance sheet, cash flow statement, and audit trail — and with native, real-time, bi-directional Tally Prime sync for hospitals that want to keep Tally as their statutory book.</w:t>
      </w:r>
    </w:p>
    <w:p>
      <w:pPr>
        <w:keepNext/>
        <w:spacing w:before="280" w:after="120"/>
      </w:pPr>
      <w:r>
        <w:rPr>
          <w:b/>
          <w:color w:val="0B2A4A"/>
          <w:sz w:val="32"/>
        </w:rPr>
        <w:t>11.2 The 14 must-have finance features</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168"/>
            <w:shd w:val="clear" w:color="auto" w:fill="0B2A4A"/>
          </w:tcPr>
          <w:p>
            <w:pPr>
              <w:spacing w:after="40"/>
            </w:pPr>
            <w:r>
              <w:rPr>
                <w:b/>
                <w:color w:val="FFFFFF"/>
                <w:sz w:val="21"/>
              </w:rPr>
              <w:t>Feature</w:t>
            </w:r>
          </w:p>
        </w:tc>
        <w:tc>
          <w:tcPr>
            <w:tcW w:type="dxa" w:w="6336"/>
            <w:shd w:val="clear" w:color="auto" w:fill="0B2A4A"/>
          </w:tcPr>
          <w:p>
            <w:pPr>
              <w:spacing w:after="40"/>
            </w:pPr>
            <w:r>
              <w:rPr>
                <w:b/>
                <w:color w:val="FFFFFF"/>
                <w:sz w:val="21"/>
              </w:rPr>
              <w:t>Detail</w:t>
            </w:r>
          </w:p>
        </w:tc>
      </w:tr>
      <w:tr>
        <w:tc>
          <w:tcPr>
            <w:tcW w:type="dxa" w:w="3168"/>
          </w:tcPr>
          <w:p>
            <w:pPr>
              <w:spacing w:after="40"/>
            </w:pPr>
            <w:r>
              <w:rPr>
                <w:color w:val="333333"/>
                <w:sz w:val="20"/>
              </w:rPr>
              <w:t>Chart of Accounts (CoA)</w:t>
            </w:r>
          </w:p>
        </w:tc>
        <w:tc>
          <w:tcPr>
            <w:tcW w:type="dxa" w:w="6336"/>
          </w:tcPr>
          <w:p>
            <w:pPr>
              <w:spacing w:after="40"/>
            </w:pPr>
            <w:r>
              <w:rPr>
                <w:color w:val="333333"/>
                <w:sz w:val="20"/>
              </w:rPr>
              <w:t>Hierarchical, multi-level, hospital-specific (income from OPD, IPD, Lab, Pharmacy, Radiology, OT; expenses by department, by branch, by cost center).</w:t>
            </w:r>
          </w:p>
        </w:tc>
      </w:tr>
      <w:tr>
        <w:tc>
          <w:tcPr>
            <w:tcW w:type="dxa" w:w="3168"/>
            <w:shd w:val="clear" w:color="auto" w:fill="F7F9FB"/>
          </w:tcPr>
          <w:p>
            <w:pPr>
              <w:spacing w:after="40"/>
            </w:pPr>
            <w:r>
              <w:rPr>
                <w:color w:val="333333"/>
                <w:sz w:val="20"/>
              </w:rPr>
              <w:t>Double-entry bookkeeping</w:t>
            </w:r>
          </w:p>
        </w:tc>
        <w:tc>
          <w:tcPr>
            <w:tcW w:type="dxa" w:w="6336"/>
            <w:shd w:val="clear" w:color="auto" w:fill="F7F9FB"/>
          </w:tcPr>
          <w:p>
            <w:pPr>
              <w:spacing w:after="40"/>
            </w:pPr>
            <w:r>
              <w:rPr>
                <w:color w:val="333333"/>
                <w:sz w:val="20"/>
              </w:rPr>
              <w:t>Every transaction posts to debit + credit, no exceptions. No 'memo entries'.</w:t>
            </w:r>
          </w:p>
        </w:tc>
      </w:tr>
      <w:tr>
        <w:tc>
          <w:tcPr>
            <w:tcW w:type="dxa" w:w="3168"/>
          </w:tcPr>
          <w:p>
            <w:pPr>
              <w:spacing w:after="40"/>
            </w:pPr>
            <w:r>
              <w:rPr>
                <w:color w:val="333333"/>
                <w:sz w:val="20"/>
              </w:rPr>
              <w:t>General Ledger (GL)</w:t>
            </w:r>
          </w:p>
        </w:tc>
        <w:tc>
          <w:tcPr>
            <w:tcW w:type="dxa" w:w="6336"/>
          </w:tcPr>
          <w:p>
            <w:pPr>
              <w:spacing w:after="40"/>
            </w:pPr>
            <w:r>
              <w:rPr>
                <w:color w:val="333333"/>
                <w:sz w:val="20"/>
              </w:rPr>
              <w:t>Sub-second ledger queries; drill-down from balance sheet → trial balance → ledger → voucher → source document.</w:t>
            </w:r>
          </w:p>
        </w:tc>
      </w:tr>
      <w:tr>
        <w:tc>
          <w:tcPr>
            <w:tcW w:type="dxa" w:w="3168"/>
            <w:shd w:val="clear" w:color="auto" w:fill="F7F9FB"/>
          </w:tcPr>
          <w:p>
            <w:pPr>
              <w:spacing w:after="40"/>
            </w:pPr>
            <w:r>
              <w:rPr>
                <w:color w:val="333333"/>
                <w:sz w:val="20"/>
              </w:rPr>
              <w:t>Accounts Payable (AP)</w:t>
            </w:r>
          </w:p>
        </w:tc>
        <w:tc>
          <w:tcPr>
            <w:tcW w:type="dxa" w:w="6336"/>
            <w:shd w:val="clear" w:color="auto" w:fill="F7F9FB"/>
          </w:tcPr>
          <w:p>
            <w:pPr>
              <w:spacing w:after="40"/>
            </w:pPr>
            <w:r>
              <w:rPr>
                <w:color w:val="333333"/>
                <w:sz w:val="20"/>
              </w:rPr>
              <w:t>Vendor invoices, three-way match, payment scheduling, TDS deduction, advance payments, vendor aging.</w:t>
            </w:r>
          </w:p>
        </w:tc>
      </w:tr>
      <w:tr>
        <w:tc>
          <w:tcPr>
            <w:tcW w:type="dxa" w:w="3168"/>
          </w:tcPr>
          <w:p>
            <w:pPr>
              <w:spacing w:after="40"/>
            </w:pPr>
            <w:r>
              <w:rPr>
                <w:color w:val="333333"/>
                <w:sz w:val="20"/>
              </w:rPr>
              <w:t>Accounts Receivable (AR)</w:t>
            </w:r>
          </w:p>
        </w:tc>
        <w:tc>
          <w:tcPr>
            <w:tcW w:type="dxa" w:w="6336"/>
          </w:tcPr>
          <w:p>
            <w:pPr>
              <w:spacing w:after="40"/>
            </w:pPr>
            <w:r>
              <w:rPr>
                <w:color w:val="333333"/>
                <w:sz w:val="20"/>
              </w:rPr>
              <w:t>Patient AR, TPA AR, corporate AR, scheme AR, doctor AR; aging buckets, dunning, collection workflows.</w:t>
            </w:r>
          </w:p>
        </w:tc>
      </w:tr>
      <w:tr>
        <w:tc>
          <w:tcPr>
            <w:tcW w:type="dxa" w:w="3168"/>
            <w:shd w:val="clear" w:color="auto" w:fill="F7F9FB"/>
          </w:tcPr>
          <w:p>
            <w:pPr>
              <w:spacing w:after="40"/>
            </w:pPr>
            <w:r>
              <w:rPr>
                <w:color w:val="333333"/>
                <w:sz w:val="20"/>
              </w:rPr>
              <w:t>Bank reconciliation</w:t>
            </w:r>
          </w:p>
        </w:tc>
        <w:tc>
          <w:tcPr>
            <w:tcW w:type="dxa" w:w="6336"/>
            <w:shd w:val="clear" w:color="auto" w:fill="F7F9FB"/>
          </w:tcPr>
          <w:p>
            <w:pPr>
              <w:spacing w:after="40"/>
            </w:pPr>
            <w:r>
              <w:rPr>
                <w:color w:val="333333"/>
                <w:sz w:val="20"/>
              </w:rPr>
              <w:t>Auto-fetch bank statement (via API or upload), match to GL entries, surface unmatched items.</w:t>
            </w:r>
          </w:p>
        </w:tc>
      </w:tr>
      <w:tr>
        <w:tc>
          <w:tcPr>
            <w:tcW w:type="dxa" w:w="3168"/>
          </w:tcPr>
          <w:p>
            <w:pPr>
              <w:spacing w:after="40"/>
            </w:pPr>
            <w:r>
              <w:rPr>
                <w:color w:val="333333"/>
                <w:sz w:val="20"/>
              </w:rPr>
              <w:t>Cost centers / profit centers</w:t>
            </w:r>
          </w:p>
        </w:tc>
        <w:tc>
          <w:tcPr>
            <w:tcW w:type="dxa" w:w="6336"/>
          </w:tcPr>
          <w:p>
            <w:pPr>
              <w:spacing w:after="40"/>
            </w:pPr>
            <w:r>
              <w:rPr>
                <w:color w:val="333333"/>
                <w:sz w:val="20"/>
              </w:rPr>
              <w:t>By department, by branch, by doctor, by speciality, by service line — hospital P&amp;L per cost center.</w:t>
            </w:r>
          </w:p>
        </w:tc>
      </w:tr>
      <w:tr>
        <w:tc>
          <w:tcPr>
            <w:tcW w:type="dxa" w:w="3168"/>
            <w:shd w:val="clear" w:color="auto" w:fill="F7F9FB"/>
          </w:tcPr>
          <w:p>
            <w:pPr>
              <w:spacing w:after="40"/>
            </w:pPr>
            <w:r>
              <w:rPr>
                <w:color w:val="333333"/>
                <w:sz w:val="20"/>
              </w:rPr>
              <w:t>Trial balance</w:t>
            </w:r>
          </w:p>
        </w:tc>
        <w:tc>
          <w:tcPr>
            <w:tcW w:type="dxa" w:w="6336"/>
            <w:shd w:val="clear" w:color="auto" w:fill="F7F9FB"/>
          </w:tcPr>
          <w:p>
            <w:pPr>
              <w:spacing w:after="40"/>
            </w:pPr>
            <w:r>
              <w:rPr>
                <w:color w:val="333333"/>
                <w:sz w:val="20"/>
              </w:rPr>
              <w:t>Real-time, drillable, auto-balanced. Generated on demand, not at month-end.</w:t>
            </w:r>
          </w:p>
        </w:tc>
      </w:tr>
      <w:tr>
        <w:tc>
          <w:tcPr>
            <w:tcW w:type="dxa" w:w="3168"/>
          </w:tcPr>
          <w:p>
            <w:pPr>
              <w:spacing w:after="40"/>
            </w:pPr>
            <w:r>
              <w:rPr>
                <w:color w:val="333333"/>
                <w:sz w:val="20"/>
              </w:rPr>
              <w:t>Profit &amp; loss statement</w:t>
            </w:r>
          </w:p>
        </w:tc>
        <w:tc>
          <w:tcPr>
            <w:tcW w:type="dxa" w:w="6336"/>
          </w:tcPr>
          <w:p>
            <w:pPr>
              <w:spacing w:after="40"/>
            </w:pPr>
            <w:r>
              <w:rPr>
                <w:color w:val="333333"/>
                <w:sz w:val="20"/>
              </w:rPr>
              <w:t>Monthly, quarterly, yearly; by branch, by department, consolidated, with prior-period comparison.</w:t>
            </w:r>
          </w:p>
        </w:tc>
      </w:tr>
      <w:tr>
        <w:tc>
          <w:tcPr>
            <w:tcW w:type="dxa" w:w="3168"/>
            <w:shd w:val="clear" w:color="auto" w:fill="F7F9FB"/>
          </w:tcPr>
          <w:p>
            <w:pPr>
              <w:spacing w:after="40"/>
            </w:pPr>
            <w:r>
              <w:rPr>
                <w:color w:val="333333"/>
                <w:sz w:val="20"/>
              </w:rPr>
              <w:t>Balance sheet</w:t>
            </w:r>
          </w:p>
        </w:tc>
        <w:tc>
          <w:tcPr>
            <w:tcW w:type="dxa" w:w="6336"/>
            <w:shd w:val="clear" w:color="auto" w:fill="F7F9FB"/>
          </w:tcPr>
          <w:p>
            <w:pPr>
              <w:spacing w:after="40"/>
            </w:pPr>
            <w:r>
              <w:rPr>
                <w:color w:val="333333"/>
                <w:sz w:val="20"/>
              </w:rPr>
              <w:t>Assets, liabilities, equity; auto-generated with full drill-down to source vouchers.</w:t>
            </w:r>
          </w:p>
        </w:tc>
      </w:tr>
      <w:tr>
        <w:tc>
          <w:tcPr>
            <w:tcW w:type="dxa" w:w="3168"/>
          </w:tcPr>
          <w:p>
            <w:pPr>
              <w:spacing w:after="40"/>
            </w:pPr>
            <w:r>
              <w:rPr>
                <w:color w:val="333333"/>
                <w:sz w:val="20"/>
              </w:rPr>
              <w:t>Cash flow statement</w:t>
            </w:r>
          </w:p>
        </w:tc>
        <w:tc>
          <w:tcPr>
            <w:tcW w:type="dxa" w:w="6336"/>
          </w:tcPr>
          <w:p>
            <w:pPr>
              <w:spacing w:after="40"/>
            </w:pPr>
            <w:r>
              <w:rPr>
                <w:color w:val="333333"/>
                <w:sz w:val="20"/>
              </w:rPr>
              <w:t>Operating, investing, financing; direct + indirect methods.</w:t>
            </w:r>
          </w:p>
        </w:tc>
      </w:tr>
      <w:tr>
        <w:tc>
          <w:tcPr>
            <w:tcW w:type="dxa" w:w="3168"/>
            <w:shd w:val="clear" w:color="auto" w:fill="F7F9FB"/>
          </w:tcPr>
          <w:p>
            <w:pPr>
              <w:spacing w:after="40"/>
            </w:pPr>
            <w:r>
              <w:rPr>
                <w:color w:val="333333"/>
                <w:sz w:val="20"/>
              </w:rPr>
              <w:t>Day-end / month-end / year-end closing</w:t>
            </w:r>
          </w:p>
        </w:tc>
        <w:tc>
          <w:tcPr>
            <w:tcW w:type="dxa" w:w="6336"/>
            <w:shd w:val="clear" w:color="auto" w:fill="F7F9FB"/>
          </w:tcPr>
          <w:p>
            <w:pPr>
              <w:spacing w:after="40"/>
            </w:pPr>
            <w:r>
              <w:rPr>
                <w:color w:val="333333"/>
                <w:sz w:val="20"/>
              </w:rPr>
              <w:t>Automated closing checklists, period locks, accruals, depreciation, reversals.</w:t>
            </w:r>
          </w:p>
        </w:tc>
      </w:tr>
      <w:tr>
        <w:tc>
          <w:tcPr>
            <w:tcW w:type="dxa" w:w="3168"/>
          </w:tcPr>
          <w:p>
            <w:pPr>
              <w:spacing w:after="40"/>
            </w:pPr>
            <w:r>
              <w:rPr>
                <w:color w:val="333333"/>
                <w:sz w:val="20"/>
              </w:rPr>
              <w:t>Multi-currency &amp; FX</w:t>
            </w:r>
          </w:p>
        </w:tc>
        <w:tc>
          <w:tcPr>
            <w:tcW w:type="dxa" w:w="6336"/>
          </w:tcPr>
          <w:p>
            <w:pPr>
              <w:spacing w:after="40"/>
            </w:pPr>
            <w:r>
              <w:rPr>
                <w:color w:val="333333"/>
                <w:sz w:val="20"/>
              </w:rPr>
              <w:t>IAS 21 treatment, daily FX rates, realised/unrealised gain/loss, multi-currency AR/AP.</w:t>
            </w:r>
          </w:p>
        </w:tc>
      </w:tr>
      <w:tr>
        <w:tc>
          <w:tcPr>
            <w:tcW w:type="dxa" w:w="3168"/>
            <w:shd w:val="clear" w:color="auto" w:fill="F7F9FB"/>
          </w:tcPr>
          <w:p>
            <w:pPr>
              <w:spacing w:after="40"/>
            </w:pPr>
            <w:r>
              <w:rPr>
                <w:color w:val="333333"/>
                <w:sz w:val="20"/>
              </w:rPr>
              <w:t>Audit trail</w:t>
            </w:r>
          </w:p>
        </w:tc>
        <w:tc>
          <w:tcPr>
            <w:tcW w:type="dxa" w:w="6336"/>
            <w:shd w:val="clear" w:color="auto" w:fill="F7F9FB"/>
          </w:tcPr>
          <w:p>
            <w:pPr>
              <w:spacing w:after="40"/>
            </w:pPr>
            <w:r>
              <w:rPr>
                <w:color w:val="333333"/>
                <w:sz w:val="20"/>
              </w:rPr>
              <w:t>Immutable log of every voucher, every change, every approval — NABH-ready, IND-AS-ready.</w:t>
            </w:r>
          </w:p>
        </w:tc>
      </w:tr>
    </w:tbl>
    <w:p>
      <w:pPr>
        <w:spacing w:after="40"/>
      </w:pPr>
    </w:p>
    <w:p>
      <w:pPr>
        <w:keepNext/>
        <w:spacing w:before="280" w:after="120"/>
      </w:pPr>
      <w:r>
        <w:rPr>
          <w:b/>
          <w:color w:val="0B2A4A"/>
          <w:sz w:val="32"/>
        </w:rPr>
        <w:t>11.3 Hospital Chart of Accounts (CoA) — reference design</w:t>
      </w:r>
    </w:p>
    <w:p>
      <w:pPr>
        <w:spacing w:after="80" w:lineRule="auto" w:line="276"/>
      </w:pPr>
      <w:r>
        <w:rPr>
          <w:color w:val="333333"/>
          <w:sz w:val="22"/>
        </w:rPr>
        <w:t>A hospital CoA is materially different from a manufacturing or retail CoA. Revenue must be split by service line so the CFO can answer 'how much margin did Cardiology make in March'. Expenses must be split by cost center, by branch, by department, and by category. Below is the reference CoA structure HospitalOS ships out of the box — extensible per hospital.</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2592"/>
            <w:shd w:val="clear" w:color="auto" w:fill="0B2A4A"/>
          </w:tcPr>
          <w:p>
            <w:pPr>
              <w:spacing w:after="40"/>
            </w:pPr>
            <w:r>
              <w:rPr>
                <w:b/>
                <w:color w:val="FFFFFF"/>
                <w:sz w:val="21"/>
              </w:rPr>
              <w:t>Account code</w:t>
            </w:r>
          </w:p>
        </w:tc>
        <w:tc>
          <w:tcPr>
            <w:tcW w:type="dxa" w:w="6912"/>
            <w:shd w:val="clear" w:color="auto" w:fill="0B2A4A"/>
          </w:tcPr>
          <w:p>
            <w:pPr>
              <w:spacing w:after="40"/>
            </w:pPr>
            <w:r>
              <w:rPr>
                <w:b/>
                <w:color w:val="FFFFFF"/>
                <w:sz w:val="21"/>
              </w:rPr>
              <w:t>Description</w:t>
            </w:r>
          </w:p>
        </w:tc>
      </w:tr>
      <w:tr>
        <w:tc>
          <w:tcPr>
            <w:tcW w:type="dxa" w:w="2592"/>
          </w:tcPr>
          <w:p>
            <w:pPr>
              <w:spacing w:after="40"/>
            </w:pPr>
            <w:r>
              <w:rPr>
                <w:color w:val="333333"/>
                <w:sz w:val="20"/>
              </w:rPr>
              <w:t>4000 — Revenue</w:t>
            </w:r>
          </w:p>
        </w:tc>
        <w:tc>
          <w:tcPr>
            <w:tcW w:type="dxa" w:w="6912"/>
          </w:tcPr>
          <w:p>
            <w:pPr>
              <w:spacing w:after="40"/>
            </w:pPr>
            <w:r>
              <w:rPr>
                <w:color w:val="333333"/>
                <w:sz w:val="20"/>
              </w:rPr>
              <w:t>Top-level revenue.</w:t>
            </w:r>
          </w:p>
        </w:tc>
      </w:tr>
      <w:tr>
        <w:tc>
          <w:tcPr>
            <w:tcW w:type="dxa" w:w="2592"/>
            <w:shd w:val="clear" w:color="auto" w:fill="F7F9FB"/>
          </w:tcPr>
          <w:p>
            <w:pPr>
              <w:spacing w:after="40"/>
            </w:pPr>
            <w:r>
              <w:rPr>
                <w:color w:val="333333"/>
                <w:sz w:val="20"/>
              </w:rPr>
              <w:t>4100 — OPD Revenue</w:t>
            </w:r>
          </w:p>
        </w:tc>
        <w:tc>
          <w:tcPr>
            <w:tcW w:type="dxa" w:w="6912"/>
            <w:shd w:val="clear" w:color="auto" w:fill="F7F9FB"/>
          </w:tcPr>
          <w:p>
            <w:pPr>
              <w:spacing w:after="40"/>
            </w:pPr>
            <w:r>
              <w:rPr>
                <w:color w:val="333333"/>
                <w:sz w:val="20"/>
              </w:rPr>
              <w:t>By specialty: 4101 GenMed, 4102 Cardio, 4103 Ortho, 4104 Onco…</w:t>
            </w:r>
          </w:p>
        </w:tc>
      </w:tr>
      <w:tr>
        <w:tc>
          <w:tcPr>
            <w:tcW w:type="dxa" w:w="2592"/>
          </w:tcPr>
          <w:p>
            <w:pPr>
              <w:spacing w:after="40"/>
            </w:pPr>
            <w:r>
              <w:rPr>
                <w:color w:val="333333"/>
                <w:sz w:val="20"/>
              </w:rPr>
              <w:t>4200 — IPD Revenue</w:t>
            </w:r>
          </w:p>
        </w:tc>
        <w:tc>
          <w:tcPr>
            <w:tcW w:type="dxa" w:w="6912"/>
          </w:tcPr>
          <w:p>
            <w:pPr>
              <w:spacing w:after="40"/>
            </w:pPr>
            <w:r>
              <w:rPr>
                <w:color w:val="333333"/>
                <w:sz w:val="20"/>
              </w:rPr>
              <w:t>Room rent, bed charges, nursing charges, RMO charges by class.</w:t>
            </w:r>
          </w:p>
        </w:tc>
      </w:tr>
      <w:tr>
        <w:tc>
          <w:tcPr>
            <w:tcW w:type="dxa" w:w="2592"/>
            <w:shd w:val="clear" w:color="auto" w:fill="F7F9FB"/>
          </w:tcPr>
          <w:p>
            <w:pPr>
              <w:spacing w:after="40"/>
            </w:pPr>
            <w:r>
              <w:rPr>
                <w:color w:val="333333"/>
                <w:sz w:val="20"/>
              </w:rPr>
              <w:t>4300 — OT Revenue</w:t>
            </w:r>
          </w:p>
        </w:tc>
        <w:tc>
          <w:tcPr>
            <w:tcW w:type="dxa" w:w="6912"/>
            <w:shd w:val="clear" w:color="auto" w:fill="F7F9FB"/>
          </w:tcPr>
          <w:p>
            <w:pPr>
              <w:spacing w:after="40"/>
            </w:pPr>
            <w:r>
              <w:rPr>
                <w:color w:val="333333"/>
                <w:sz w:val="20"/>
              </w:rPr>
              <w:t>Surgical procedure fees, OT charges, anaesthetist, surgeon.</w:t>
            </w:r>
          </w:p>
        </w:tc>
      </w:tr>
      <w:tr>
        <w:tc>
          <w:tcPr>
            <w:tcW w:type="dxa" w:w="2592"/>
          </w:tcPr>
          <w:p>
            <w:pPr>
              <w:spacing w:after="40"/>
            </w:pPr>
            <w:r>
              <w:rPr>
                <w:color w:val="333333"/>
                <w:sz w:val="20"/>
              </w:rPr>
              <w:t>4400 — Lab Revenue</w:t>
            </w:r>
          </w:p>
        </w:tc>
        <w:tc>
          <w:tcPr>
            <w:tcW w:type="dxa" w:w="6912"/>
          </w:tcPr>
          <w:p>
            <w:pPr>
              <w:spacing w:after="40"/>
            </w:pPr>
            <w:r>
              <w:rPr>
                <w:color w:val="333333"/>
                <w:sz w:val="20"/>
              </w:rPr>
              <w:t>Pathology, radiology, cardiology diagnostics, neuro diagnostics.</w:t>
            </w:r>
          </w:p>
        </w:tc>
      </w:tr>
      <w:tr>
        <w:tc>
          <w:tcPr>
            <w:tcW w:type="dxa" w:w="2592"/>
            <w:shd w:val="clear" w:color="auto" w:fill="F7F9FB"/>
          </w:tcPr>
          <w:p>
            <w:pPr>
              <w:spacing w:after="40"/>
            </w:pPr>
            <w:r>
              <w:rPr>
                <w:color w:val="333333"/>
                <w:sz w:val="20"/>
              </w:rPr>
              <w:t>4500 — Pharmacy Revenue</w:t>
            </w:r>
          </w:p>
        </w:tc>
        <w:tc>
          <w:tcPr>
            <w:tcW w:type="dxa" w:w="6912"/>
            <w:shd w:val="clear" w:color="auto" w:fill="F7F9FB"/>
          </w:tcPr>
          <w:p>
            <w:pPr>
              <w:spacing w:after="40"/>
            </w:pPr>
            <w:r>
              <w:rPr>
                <w:color w:val="333333"/>
                <w:sz w:val="20"/>
              </w:rPr>
              <w:t>Inpatient pharmacy, outpatient pharmacy, TTH.</w:t>
            </w:r>
          </w:p>
        </w:tc>
      </w:tr>
      <w:tr>
        <w:tc>
          <w:tcPr>
            <w:tcW w:type="dxa" w:w="2592"/>
          </w:tcPr>
          <w:p>
            <w:pPr>
              <w:spacing w:after="40"/>
            </w:pPr>
            <w:r>
              <w:rPr>
                <w:color w:val="333333"/>
                <w:sz w:val="20"/>
              </w:rPr>
              <w:t>4600 — Other Income</w:t>
            </w:r>
          </w:p>
        </w:tc>
        <w:tc>
          <w:tcPr>
            <w:tcW w:type="dxa" w:w="6912"/>
          </w:tcPr>
          <w:p>
            <w:pPr>
              <w:spacing w:after="40"/>
            </w:pPr>
            <w:r>
              <w:rPr>
                <w:color w:val="333333"/>
                <w:sz w:val="20"/>
              </w:rPr>
              <w:t>Ambulance, cafeteria, parking, mortuary, training income.</w:t>
            </w:r>
          </w:p>
        </w:tc>
      </w:tr>
      <w:tr>
        <w:tc>
          <w:tcPr>
            <w:tcW w:type="dxa" w:w="2592"/>
            <w:shd w:val="clear" w:color="auto" w:fill="F7F9FB"/>
          </w:tcPr>
          <w:p>
            <w:pPr>
              <w:spacing w:after="40"/>
            </w:pPr>
            <w:r>
              <w:rPr>
                <w:color w:val="333333"/>
                <w:sz w:val="20"/>
              </w:rPr>
              <w:t>5000 — Expenses</w:t>
            </w:r>
          </w:p>
        </w:tc>
        <w:tc>
          <w:tcPr>
            <w:tcW w:type="dxa" w:w="6912"/>
            <w:shd w:val="clear" w:color="auto" w:fill="F7F9FB"/>
          </w:tcPr>
          <w:p>
            <w:pPr>
              <w:spacing w:after="40"/>
            </w:pPr>
            <w:r>
              <w:rPr>
                <w:color w:val="333333"/>
                <w:sz w:val="20"/>
              </w:rPr>
              <w:t>Top-level expense.</w:t>
            </w:r>
          </w:p>
        </w:tc>
      </w:tr>
      <w:tr>
        <w:tc>
          <w:tcPr>
            <w:tcW w:type="dxa" w:w="2592"/>
          </w:tcPr>
          <w:p>
            <w:pPr>
              <w:spacing w:after="40"/>
            </w:pPr>
            <w:r>
              <w:rPr>
                <w:color w:val="333333"/>
                <w:sz w:val="20"/>
              </w:rPr>
              <w:t>5100 — Direct Patient Care</w:t>
            </w:r>
          </w:p>
        </w:tc>
        <w:tc>
          <w:tcPr>
            <w:tcW w:type="dxa" w:w="6912"/>
          </w:tcPr>
          <w:p>
            <w:pPr>
              <w:spacing w:after="40"/>
            </w:pPr>
            <w:r>
              <w:rPr>
                <w:color w:val="333333"/>
                <w:sz w:val="20"/>
              </w:rPr>
              <w:t>Doctor fees (Sec 194J), nursing payroll, medical consumables, drugs.</w:t>
            </w:r>
          </w:p>
        </w:tc>
      </w:tr>
      <w:tr>
        <w:tc>
          <w:tcPr>
            <w:tcW w:type="dxa" w:w="2592"/>
            <w:shd w:val="clear" w:color="auto" w:fill="F7F9FB"/>
          </w:tcPr>
          <w:p>
            <w:pPr>
              <w:spacing w:after="40"/>
            </w:pPr>
            <w:r>
              <w:rPr>
                <w:color w:val="333333"/>
                <w:sz w:val="20"/>
              </w:rPr>
              <w:t>5200 — Indirect Patient Care</w:t>
            </w:r>
          </w:p>
        </w:tc>
        <w:tc>
          <w:tcPr>
            <w:tcW w:type="dxa" w:w="6912"/>
            <w:shd w:val="clear" w:color="auto" w:fill="F7F9FB"/>
          </w:tcPr>
          <w:p>
            <w:pPr>
              <w:spacing w:after="40"/>
            </w:pPr>
            <w:r>
              <w:rPr>
                <w:color w:val="333333"/>
                <w:sz w:val="20"/>
              </w:rPr>
              <w:t>Laundry, F&amp;B, housekeeping, bio-medical waste.</w:t>
            </w:r>
          </w:p>
        </w:tc>
      </w:tr>
      <w:tr>
        <w:tc>
          <w:tcPr>
            <w:tcW w:type="dxa" w:w="2592"/>
          </w:tcPr>
          <w:p>
            <w:pPr>
              <w:spacing w:after="40"/>
            </w:pPr>
            <w:r>
              <w:rPr>
                <w:color w:val="333333"/>
                <w:sz w:val="20"/>
              </w:rPr>
              <w:t>5300 — Administration</w:t>
            </w:r>
          </w:p>
        </w:tc>
        <w:tc>
          <w:tcPr>
            <w:tcW w:type="dxa" w:w="6912"/>
          </w:tcPr>
          <w:p>
            <w:pPr>
              <w:spacing w:after="40"/>
            </w:pPr>
            <w:r>
              <w:rPr>
                <w:color w:val="333333"/>
                <w:sz w:val="20"/>
              </w:rPr>
              <w:t>Admin salaries, office, legal, audit, insurance.</w:t>
            </w:r>
          </w:p>
        </w:tc>
      </w:tr>
      <w:tr>
        <w:tc>
          <w:tcPr>
            <w:tcW w:type="dxa" w:w="2592"/>
            <w:shd w:val="clear" w:color="auto" w:fill="F7F9FB"/>
          </w:tcPr>
          <w:p>
            <w:pPr>
              <w:spacing w:after="40"/>
            </w:pPr>
            <w:r>
              <w:rPr>
                <w:color w:val="333333"/>
                <w:sz w:val="20"/>
              </w:rPr>
              <w:t>5400 — Facilities</w:t>
            </w:r>
          </w:p>
        </w:tc>
        <w:tc>
          <w:tcPr>
            <w:tcW w:type="dxa" w:w="6912"/>
            <w:shd w:val="clear" w:color="auto" w:fill="F7F9FB"/>
          </w:tcPr>
          <w:p>
            <w:pPr>
              <w:spacing w:after="40"/>
            </w:pPr>
            <w:r>
              <w:rPr>
                <w:color w:val="333333"/>
                <w:sz w:val="20"/>
              </w:rPr>
              <w:t>Rent, electricity, water, gas, AC, lifts.</w:t>
            </w:r>
          </w:p>
        </w:tc>
      </w:tr>
      <w:tr>
        <w:tc>
          <w:tcPr>
            <w:tcW w:type="dxa" w:w="2592"/>
          </w:tcPr>
          <w:p>
            <w:pPr>
              <w:spacing w:after="40"/>
            </w:pPr>
            <w:r>
              <w:rPr>
                <w:color w:val="333333"/>
                <w:sz w:val="20"/>
              </w:rPr>
              <w:t>5500 — Depreciation &amp; Amortization</w:t>
            </w:r>
          </w:p>
        </w:tc>
        <w:tc>
          <w:tcPr>
            <w:tcW w:type="dxa" w:w="6912"/>
          </w:tcPr>
          <w:p>
            <w:pPr>
              <w:spacing w:after="40"/>
            </w:pPr>
            <w:r>
              <w:rPr>
                <w:color w:val="333333"/>
                <w:sz w:val="20"/>
              </w:rPr>
              <w:t>Equipment, building, software, intangibles.</w:t>
            </w:r>
          </w:p>
        </w:tc>
      </w:tr>
      <w:tr>
        <w:tc>
          <w:tcPr>
            <w:tcW w:type="dxa" w:w="2592"/>
            <w:shd w:val="clear" w:color="auto" w:fill="F7F9FB"/>
          </w:tcPr>
          <w:p>
            <w:pPr>
              <w:spacing w:after="40"/>
            </w:pPr>
            <w:r>
              <w:rPr>
                <w:color w:val="333333"/>
                <w:sz w:val="20"/>
              </w:rPr>
              <w:t>5600 — Finance Cost</w:t>
            </w:r>
          </w:p>
        </w:tc>
        <w:tc>
          <w:tcPr>
            <w:tcW w:type="dxa" w:w="6912"/>
            <w:shd w:val="clear" w:color="auto" w:fill="F7F9FB"/>
          </w:tcPr>
          <w:p>
            <w:pPr>
              <w:spacing w:after="40"/>
            </w:pPr>
            <w:r>
              <w:rPr>
                <w:color w:val="333333"/>
                <w:sz w:val="20"/>
              </w:rPr>
              <w:t>Interest, bank charges, FX losses.</w:t>
            </w:r>
          </w:p>
        </w:tc>
      </w:tr>
      <w:tr>
        <w:tc>
          <w:tcPr>
            <w:tcW w:type="dxa" w:w="2592"/>
          </w:tcPr>
          <w:p>
            <w:pPr>
              <w:spacing w:after="40"/>
            </w:pPr>
            <w:r>
              <w:rPr>
                <w:color w:val="333333"/>
                <w:sz w:val="20"/>
              </w:rPr>
              <w:t>1000 — Assets</w:t>
            </w:r>
          </w:p>
        </w:tc>
        <w:tc>
          <w:tcPr>
            <w:tcW w:type="dxa" w:w="6912"/>
          </w:tcPr>
          <w:p>
            <w:pPr>
              <w:spacing w:after="40"/>
            </w:pPr>
            <w:r>
              <w:rPr>
                <w:color w:val="333333"/>
                <w:sz w:val="20"/>
              </w:rPr>
              <w:t>Cash, bank, AR, inventory, fixed assets.</w:t>
            </w:r>
          </w:p>
        </w:tc>
      </w:tr>
      <w:tr>
        <w:tc>
          <w:tcPr>
            <w:tcW w:type="dxa" w:w="2592"/>
            <w:shd w:val="clear" w:color="auto" w:fill="F7F9FB"/>
          </w:tcPr>
          <w:p>
            <w:pPr>
              <w:spacing w:after="40"/>
            </w:pPr>
            <w:r>
              <w:rPr>
                <w:color w:val="333333"/>
                <w:sz w:val="20"/>
              </w:rPr>
              <w:t>2000 — Liabilities</w:t>
            </w:r>
          </w:p>
        </w:tc>
        <w:tc>
          <w:tcPr>
            <w:tcW w:type="dxa" w:w="6912"/>
            <w:shd w:val="clear" w:color="auto" w:fill="F7F9FB"/>
          </w:tcPr>
          <w:p>
            <w:pPr>
              <w:spacing w:after="40"/>
            </w:pPr>
            <w:r>
              <w:rPr>
                <w:color w:val="333333"/>
                <w:sz w:val="20"/>
              </w:rPr>
              <w:t>AP, taxes payable, statutory dues, provisions.</w:t>
            </w:r>
          </w:p>
        </w:tc>
      </w:tr>
      <w:tr>
        <w:tc>
          <w:tcPr>
            <w:tcW w:type="dxa" w:w="2592"/>
          </w:tcPr>
          <w:p>
            <w:pPr>
              <w:spacing w:after="40"/>
            </w:pPr>
            <w:r>
              <w:rPr>
                <w:color w:val="333333"/>
                <w:sz w:val="20"/>
              </w:rPr>
              <w:t>3000 — Equity</w:t>
            </w:r>
          </w:p>
        </w:tc>
        <w:tc>
          <w:tcPr>
            <w:tcW w:type="dxa" w:w="6912"/>
          </w:tcPr>
          <w:p>
            <w:pPr>
              <w:spacing w:after="40"/>
            </w:pPr>
            <w:r>
              <w:rPr>
                <w:color w:val="333333"/>
                <w:sz w:val="20"/>
              </w:rPr>
              <w:t>Share capital, reserves, retained earnings.</w:t>
            </w:r>
          </w:p>
        </w:tc>
      </w:tr>
    </w:tbl>
    <w:p>
      <w:pPr>
        <w:spacing w:after="40"/>
      </w:pPr>
    </w:p>
    <w:p>
      <w:pPr>
        <w:keepNext/>
        <w:spacing w:before="280" w:after="120"/>
      </w:pPr>
      <w:r>
        <w:rPr>
          <w:b/>
          <w:color w:val="0B2A4A"/>
          <w:sz w:val="32"/>
        </w:rPr>
        <w:t>11.4 Double-entry posting — hospital examples</w:t>
      </w:r>
    </w:p>
    <w:p>
      <w:pPr>
        <w:spacing w:after="80" w:lineRule="auto" w:line="276"/>
      </w:pPr>
      <w:r>
        <w:rPr>
          <w:color w:val="333333"/>
          <w:sz w:val="22"/>
        </w:rPr>
        <w:t>Every operational event in HospitalOS posts a real journal entry to the GL. Below are the most common postings, exactly as HospitalOS will book them. These journals are how the system stays accounting-grade.</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744"/>
            <w:shd w:val="clear" w:color="auto" w:fill="0B2A4A"/>
          </w:tcPr>
          <w:p>
            <w:pPr>
              <w:spacing w:after="40"/>
            </w:pPr>
            <w:r>
              <w:rPr>
                <w:b/>
                <w:color w:val="FFFFFF"/>
                <w:sz w:val="21"/>
              </w:rPr>
              <w:t>Event</w:t>
            </w:r>
          </w:p>
        </w:tc>
        <w:tc>
          <w:tcPr>
            <w:tcW w:type="dxa" w:w="5760"/>
            <w:shd w:val="clear" w:color="auto" w:fill="0B2A4A"/>
          </w:tcPr>
          <w:p>
            <w:pPr>
              <w:spacing w:after="40"/>
            </w:pPr>
            <w:r>
              <w:rPr>
                <w:b/>
                <w:color w:val="FFFFFF"/>
                <w:sz w:val="21"/>
              </w:rPr>
              <w:t>Journal entry</w:t>
            </w:r>
          </w:p>
        </w:tc>
      </w:tr>
      <w:tr>
        <w:tc>
          <w:tcPr>
            <w:tcW w:type="dxa" w:w="3744"/>
          </w:tcPr>
          <w:p>
            <w:pPr>
              <w:spacing w:after="40"/>
            </w:pPr>
            <w:r>
              <w:rPr>
                <w:color w:val="333333"/>
                <w:sz w:val="20"/>
              </w:rPr>
              <w:t>Patient pays cash advance ₹50,000 at admission</w:t>
            </w:r>
          </w:p>
        </w:tc>
        <w:tc>
          <w:tcPr>
            <w:tcW w:type="dxa" w:w="5760"/>
          </w:tcPr>
          <w:p>
            <w:pPr>
              <w:spacing w:after="40"/>
            </w:pPr>
            <w:r>
              <w:rPr>
                <w:color w:val="333333"/>
                <w:sz w:val="20"/>
              </w:rPr>
              <w:t>Dr Cash 50,000 / Cr Patient Advance (Liability) 50,000</w:t>
            </w:r>
          </w:p>
        </w:tc>
      </w:tr>
      <w:tr>
        <w:tc>
          <w:tcPr>
            <w:tcW w:type="dxa" w:w="3744"/>
            <w:shd w:val="clear" w:color="auto" w:fill="F7F9FB"/>
          </w:tcPr>
          <w:p>
            <w:pPr>
              <w:spacing w:after="40"/>
            </w:pPr>
            <w:r>
              <w:rPr>
                <w:color w:val="333333"/>
                <w:sz w:val="20"/>
              </w:rPr>
              <w:t>OPD consultation ₹500 charged</w:t>
            </w:r>
          </w:p>
        </w:tc>
        <w:tc>
          <w:tcPr>
            <w:tcW w:type="dxa" w:w="5760"/>
            <w:shd w:val="clear" w:color="auto" w:fill="F7F9FB"/>
          </w:tcPr>
          <w:p>
            <w:pPr>
              <w:spacing w:after="40"/>
            </w:pPr>
            <w:r>
              <w:rPr>
                <w:color w:val="333333"/>
                <w:sz w:val="20"/>
              </w:rPr>
              <w:t>Dr Patient AR 500 / Cr OPD Revenue (4101) 500</w:t>
            </w:r>
          </w:p>
        </w:tc>
      </w:tr>
      <w:tr>
        <w:tc>
          <w:tcPr>
            <w:tcW w:type="dxa" w:w="3744"/>
          </w:tcPr>
          <w:p>
            <w:pPr>
              <w:spacing w:after="40"/>
            </w:pPr>
            <w:r>
              <w:rPr>
                <w:color w:val="333333"/>
                <w:sz w:val="20"/>
              </w:rPr>
              <w:t>Lab test ₹1,200 ordered &amp; resulted</w:t>
            </w:r>
          </w:p>
        </w:tc>
        <w:tc>
          <w:tcPr>
            <w:tcW w:type="dxa" w:w="5760"/>
          </w:tcPr>
          <w:p>
            <w:pPr>
              <w:spacing w:after="40"/>
            </w:pPr>
            <w:r>
              <w:rPr>
                <w:color w:val="333333"/>
                <w:sz w:val="20"/>
              </w:rPr>
              <w:t>Dr Patient AR 1,200 / Cr Lab Revenue (4400) 1,200</w:t>
            </w:r>
          </w:p>
        </w:tc>
      </w:tr>
      <w:tr>
        <w:tc>
          <w:tcPr>
            <w:tcW w:type="dxa" w:w="3744"/>
            <w:shd w:val="clear" w:color="auto" w:fill="F7F9FB"/>
          </w:tcPr>
          <w:p>
            <w:pPr>
              <w:spacing w:after="40"/>
            </w:pPr>
            <w:r>
              <w:rPr>
                <w:color w:val="333333"/>
                <w:sz w:val="20"/>
              </w:rPr>
              <w:t>Pharmacy issue ₹2,500 (cost ₹1,800)</w:t>
            </w:r>
          </w:p>
        </w:tc>
        <w:tc>
          <w:tcPr>
            <w:tcW w:type="dxa" w:w="5760"/>
            <w:shd w:val="clear" w:color="auto" w:fill="F7F9FB"/>
          </w:tcPr>
          <w:p>
            <w:pPr>
              <w:spacing w:after="40"/>
            </w:pPr>
            <w:r>
              <w:rPr>
                <w:color w:val="333333"/>
                <w:sz w:val="20"/>
              </w:rPr>
              <w:t>Dr Patient AR 2,500 / Cr Pharmacy Revenue (4500) 2,500  +  Dr COGS 1,800 / Cr Inventory 1,800</w:t>
            </w:r>
          </w:p>
        </w:tc>
      </w:tr>
      <w:tr>
        <w:tc>
          <w:tcPr>
            <w:tcW w:type="dxa" w:w="3744"/>
          </w:tcPr>
          <w:p>
            <w:pPr>
              <w:spacing w:after="40"/>
            </w:pPr>
            <w:r>
              <w:rPr>
                <w:color w:val="333333"/>
                <w:sz w:val="20"/>
              </w:rPr>
              <w:t>Final bill ₹70,000, advance ₹50,000 settled</w:t>
            </w:r>
          </w:p>
        </w:tc>
        <w:tc>
          <w:tcPr>
            <w:tcW w:type="dxa" w:w="5760"/>
          </w:tcPr>
          <w:p>
            <w:pPr>
              <w:spacing w:after="40"/>
            </w:pPr>
            <w:r>
              <w:rPr>
                <w:color w:val="333333"/>
                <w:sz w:val="20"/>
              </w:rPr>
              <w:t>Dr Patient Advance 50,000 / Cr Patient AR 50,000  (balance ₹20,000 remains in AR)</w:t>
            </w:r>
          </w:p>
        </w:tc>
      </w:tr>
      <w:tr>
        <w:tc>
          <w:tcPr>
            <w:tcW w:type="dxa" w:w="3744"/>
            <w:shd w:val="clear" w:color="auto" w:fill="F7F9FB"/>
          </w:tcPr>
          <w:p>
            <w:pPr>
              <w:spacing w:after="40"/>
            </w:pPr>
            <w:r>
              <w:rPr>
                <w:color w:val="333333"/>
                <w:sz w:val="20"/>
              </w:rPr>
              <w:t>TPA cashless claim ₹70,000 raised</w:t>
            </w:r>
          </w:p>
        </w:tc>
        <w:tc>
          <w:tcPr>
            <w:tcW w:type="dxa" w:w="5760"/>
            <w:shd w:val="clear" w:color="auto" w:fill="F7F9FB"/>
          </w:tcPr>
          <w:p>
            <w:pPr>
              <w:spacing w:after="40"/>
            </w:pPr>
            <w:r>
              <w:rPr>
                <w:color w:val="333333"/>
                <w:sz w:val="20"/>
              </w:rPr>
              <w:t>Dr TPA AR (sub-ledger) 70,000 / Cr Patient AR 70,000</w:t>
            </w:r>
          </w:p>
        </w:tc>
      </w:tr>
      <w:tr>
        <w:tc>
          <w:tcPr>
            <w:tcW w:type="dxa" w:w="3744"/>
          </w:tcPr>
          <w:p>
            <w:pPr>
              <w:spacing w:after="40"/>
            </w:pPr>
            <w:r>
              <w:rPr>
                <w:color w:val="333333"/>
                <w:sz w:val="20"/>
              </w:rPr>
              <w:t>TPA pays ₹65,000 (₹5,000 disallowed)</w:t>
            </w:r>
          </w:p>
        </w:tc>
        <w:tc>
          <w:tcPr>
            <w:tcW w:type="dxa" w:w="5760"/>
          </w:tcPr>
          <w:p>
            <w:pPr>
              <w:spacing w:after="40"/>
            </w:pPr>
            <w:r>
              <w:rPr>
                <w:color w:val="333333"/>
                <w:sz w:val="20"/>
              </w:rPr>
              <w:t>Dr Bank 65,000 + Dr Disallowance Expense 5,000 / Cr TPA AR 70,000</w:t>
            </w:r>
          </w:p>
        </w:tc>
      </w:tr>
      <w:tr>
        <w:tc>
          <w:tcPr>
            <w:tcW w:type="dxa" w:w="3744"/>
            <w:shd w:val="clear" w:color="auto" w:fill="F7F9FB"/>
          </w:tcPr>
          <w:p>
            <w:pPr>
              <w:spacing w:after="40"/>
            </w:pPr>
            <w:r>
              <w:rPr>
                <w:color w:val="333333"/>
                <w:sz w:val="20"/>
              </w:rPr>
              <w:t>Doctor consultant fee ₹40,000 (Sec 194J 10% TDS)</w:t>
            </w:r>
          </w:p>
        </w:tc>
        <w:tc>
          <w:tcPr>
            <w:tcW w:type="dxa" w:w="5760"/>
            <w:shd w:val="clear" w:color="auto" w:fill="F7F9FB"/>
          </w:tcPr>
          <w:p>
            <w:pPr>
              <w:spacing w:after="40"/>
            </w:pPr>
            <w:r>
              <w:rPr>
                <w:color w:val="333333"/>
                <w:sz w:val="20"/>
              </w:rPr>
              <w:t>Dr Doctor Fee Expense 40,000 / Cr TDS Payable 4,000 + Cr Doctor Payable 36,000</w:t>
            </w:r>
          </w:p>
        </w:tc>
      </w:tr>
      <w:tr>
        <w:tc>
          <w:tcPr>
            <w:tcW w:type="dxa" w:w="3744"/>
          </w:tcPr>
          <w:p>
            <w:pPr>
              <w:spacing w:after="40"/>
            </w:pPr>
            <w:r>
              <w:rPr>
                <w:color w:val="333333"/>
                <w:sz w:val="20"/>
              </w:rPr>
              <w:t>Vendor invoice ₹1,00,000 + 18% GST consumables</w:t>
            </w:r>
          </w:p>
        </w:tc>
        <w:tc>
          <w:tcPr>
            <w:tcW w:type="dxa" w:w="5760"/>
          </w:tcPr>
          <w:p>
            <w:pPr>
              <w:spacing w:after="40"/>
            </w:pPr>
            <w:r>
              <w:rPr>
                <w:color w:val="333333"/>
                <w:sz w:val="20"/>
              </w:rPr>
              <w:t>Dr Inventory 1,00,000 + Dr GST Input 18,000 / Cr Vendor AP 1,18,000</w:t>
            </w:r>
          </w:p>
        </w:tc>
      </w:tr>
      <w:tr>
        <w:tc>
          <w:tcPr>
            <w:tcW w:type="dxa" w:w="3744"/>
            <w:shd w:val="clear" w:color="auto" w:fill="F7F9FB"/>
          </w:tcPr>
          <w:p>
            <w:pPr>
              <w:spacing w:after="40"/>
            </w:pPr>
            <w:r>
              <w:rPr>
                <w:color w:val="333333"/>
                <w:sz w:val="20"/>
              </w:rPr>
              <w:t>Vendor payment NEFT</w:t>
            </w:r>
          </w:p>
        </w:tc>
        <w:tc>
          <w:tcPr>
            <w:tcW w:type="dxa" w:w="5760"/>
            <w:shd w:val="clear" w:color="auto" w:fill="F7F9FB"/>
          </w:tcPr>
          <w:p>
            <w:pPr>
              <w:spacing w:after="40"/>
            </w:pPr>
            <w:r>
              <w:rPr>
                <w:color w:val="333333"/>
                <w:sz w:val="20"/>
              </w:rPr>
              <w:t>Dr Vendor AP 1,18,000 / Cr Bank 1,18,000</w:t>
            </w:r>
          </w:p>
        </w:tc>
      </w:tr>
      <w:tr>
        <w:tc>
          <w:tcPr>
            <w:tcW w:type="dxa" w:w="3744"/>
          </w:tcPr>
          <w:p>
            <w:pPr>
              <w:spacing w:after="40"/>
            </w:pPr>
            <w:r>
              <w:rPr>
                <w:color w:val="333333"/>
                <w:sz w:val="20"/>
              </w:rPr>
              <w:t>Monthly depreciation on CT scanner</w:t>
            </w:r>
          </w:p>
        </w:tc>
        <w:tc>
          <w:tcPr>
            <w:tcW w:type="dxa" w:w="5760"/>
          </w:tcPr>
          <w:p>
            <w:pPr>
              <w:spacing w:after="40"/>
            </w:pPr>
            <w:r>
              <w:rPr>
                <w:color w:val="333333"/>
                <w:sz w:val="20"/>
              </w:rPr>
              <w:t>Dr Depreciation Expense / Cr Accumulated Depreciation</w:t>
            </w:r>
          </w:p>
        </w:tc>
      </w:tr>
      <w:tr>
        <w:tc>
          <w:tcPr>
            <w:tcW w:type="dxa" w:w="3744"/>
            <w:shd w:val="clear" w:color="auto" w:fill="F7F9FB"/>
          </w:tcPr>
          <w:p>
            <w:pPr>
              <w:spacing w:after="40"/>
            </w:pPr>
            <w:r>
              <w:rPr>
                <w:color w:val="333333"/>
                <w:sz w:val="20"/>
              </w:rPr>
              <w:t>Month-end inventory variance</w:t>
            </w:r>
          </w:p>
        </w:tc>
        <w:tc>
          <w:tcPr>
            <w:tcW w:type="dxa" w:w="5760"/>
            <w:shd w:val="clear" w:color="auto" w:fill="F7F9FB"/>
          </w:tcPr>
          <w:p>
            <w:pPr>
              <w:spacing w:after="40"/>
            </w:pPr>
            <w:r>
              <w:rPr>
                <w:color w:val="333333"/>
                <w:sz w:val="20"/>
              </w:rPr>
              <w:t>Dr / Cr Inventory Adjustment vs Inventory (with cost-center allocation)</w:t>
            </w:r>
          </w:p>
        </w:tc>
      </w:tr>
    </w:tbl>
    <w:p>
      <w:pPr>
        <w:spacing w:after="40"/>
      </w:pPr>
    </w:p>
    <w:p>
      <w:pPr>
        <w:keepNext/>
        <w:spacing w:before="280" w:after="120"/>
      </w:pPr>
      <w:r>
        <w:rPr>
          <w:b/>
          <w:color w:val="0B2A4A"/>
          <w:sz w:val="32"/>
        </w:rPr>
        <w:t>11.5 GST + TDS for hospitals</w:t>
      </w:r>
    </w:p>
    <w:p>
      <w:pPr>
        <w:spacing w:after="80" w:lineRule="auto" w:line="276"/>
      </w:pPr>
      <w:r>
        <w:rPr>
          <w:color w:val="333333"/>
          <w:sz w:val="22"/>
        </w:rPr>
        <w:t>Hospital tax handling is famously tricky in India. Most healthcare services are GST-exempt, but several common revenue lines are NOT. Doctor fees attract Section 194J TDS at 10% (threshold ₹50,000/FY/payee). Cosmetic surgery, room rent above ₹5,000/day (5% GST), and several non-clinical services are GST-applicable. HospitalOS encodes all of these rules natively in the billing engine and the GL.</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744"/>
            <w:shd w:val="clear" w:color="auto" w:fill="0B2A4A"/>
          </w:tcPr>
          <w:p>
            <w:pPr>
              <w:spacing w:after="40"/>
            </w:pPr>
            <w:r>
              <w:rPr>
                <w:b/>
                <w:color w:val="FFFFFF"/>
                <w:sz w:val="21"/>
              </w:rPr>
              <w:t>Service / payment</w:t>
            </w:r>
          </w:p>
        </w:tc>
        <w:tc>
          <w:tcPr>
            <w:tcW w:type="dxa" w:w="5760"/>
            <w:shd w:val="clear" w:color="auto" w:fill="0B2A4A"/>
          </w:tcPr>
          <w:p>
            <w:pPr>
              <w:spacing w:after="40"/>
            </w:pPr>
            <w:r>
              <w:rPr>
                <w:b/>
                <w:color w:val="FFFFFF"/>
                <w:sz w:val="21"/>
              </w:rPr>
              <w:t>Tax treatment</w:t>
            </w:r>
          </w:p>
        </w:tc>
      </w:tr>
      <w:tr>
        <w:tc>
          <w:tcPr>
            <w:tcW w:type="dxa" w:w="3744"/>
          </w:tcPr>
          <w:p>
            <w:pPr>
              <w:spacing w:after="40"/>
            </w:pPr>
            <w:r>
              <w:rPr>
                <w:color w:val="333333"/>
                <w:sz w:val="20"/>
              </w:rPr>
              <w:t>OPD / IPD clinical services</w:t>
            </w:r>
          </w:p>
        </w:tc>
        <w:tc>
          <w:tcPr>
            <w:tcW w:type="dxa" w:w="5760"/>
          </w:tcPr>
          <w:p>
            <w:pPr>
              <w:spacing w:after="40"/>
            </w:pPr>
            <w:r>
              <w:rPr>
                <w:color w:val="333333"/>
                <w:sz w:val="20"/>
              </w:rPr>
              <w:t>GST exempt (entry 74, Notification 12/2017-CT(R))</w:t>
            </w:r>
          </w:p>
        </w:tc>
      </w:tr>
      <w:tr>
        <w:tc>
          <w:tcPr>
            <w:tcW w:type="dxa" w:w="3744"/>
            <w:shd w:val="clear" w:color="auto" w:fill="F7F9FB"/>
          </w:tcPr>
          <w:p>
            <w:pPr>
              <w:spacing w:after="40"/>
            </w:pPr>
            <w:r>
              <w:rPr>
                <w:color w:val="333333"/>
                <w:sz w:val="20"/>
              </w:rPr>
              <w:t>Diagnostic services (lab, radiology)</w:t>
            </w:r>
          </w:p>
        </w:tc>
        <w:tc>
          <w:tcPr>
            <w:tcW w:type="dxa" w:w="5760"/>
            <w:shd w:val="clear" w:color="auto" w:fill="F7F9FB"/>
          </w:tcPr>
          <w:p>
            <w:pPr>
              <w:spacing w:after="40"/>
            </w:pPr>
            <w:r>
              <w:rPr>
                <w:color w:val="333333"/>
                <w:sz w:val="20"/>
              </w:rPr>
              <w:t>GST exempt</w:t>
            </w:r>
          </w:p>
        </w:tc>
      </w:tr>
      <w:tr>
        <w:tc>
          <w:tcPr>
            <w:tcW w:type="dxa" w:w="3744"/>
          </w:tcPr>
          <w:p>
            <w:pPr>
              <w:spacing w:after="40"/>
            </w:pPr>
            <w:r>
              <w:rPr>
                <w:color w:val="333333"/>
                <w:sz w:val="20"/>
              </w:rPr>
              <w:t>Pharmacy to in-patients</w:t>
            </w:r>
          </w:p>
        </w:tc>
        <w:tc>
          <w:tcPr>
            <w:tcW w:type="dxa" w:w="5760"/>
          </w:tcPr>
          <w:p>
            <w:pPr>
              <w:spacing w:after="40"/>
            </w:pPr>
            <w:r>
              <w:rPr>
                <w:color w:val="333333"/>
                <w:sz w:val="20"/>
              </w:rPr>
              <w:t>GST exempt (composite supply with health care)</w:t>
            </w:r>
          </w:p>
        </w:tc>
      </w:tr>
      <w:tr>
        <w:tc>
          <w:tcPr>
            <w:tcW w:type="dxa" w:w="3744"/>
            <w:shd w:val="clear" w:color="auto" w:fill="F7F9FB"/>
          </w:tcPr>
          <w:p>
            <w:pPr>
              <w:spacing w:after="40"/>
            </w:pPr>
            <w:r>
              <w:rPr>
                <w:color w:val="333333"/>
                <w:sz w:val="20"/>
              </w:rPr>
              <w:t>Pharmacy retail (out-patients)</w:t>
            </w:r>
          </w:p>
        </w:tc>
        <w:tc>
          <w:tcPr>
            <w:tcW w:type="dxa" w:w="5760"/>
            <w:shd w:val="clear" w:color="auto" w:fill="F7F9FB"/>
          </w:tcPr>
          <w:p>
            <w:pPr>
              <w:spacing w:after="40"/>
            </w:pPr>
            <w:r>
              <w:rPr>
                <w:color w:val="333333"/>
                <w:sz w:val="20"/>
              </w:rPr>
              <w:t>GST applicable at the drug's HSN rate</w:t>
            </w:r>
          </w:p>
        </w:tc>
      </w:tr>
      <w:tr>
        <w:tc>
          <w:tcPr>
            <w:tcW w:type="dxa" w:w="3744"/>
          </w:tcPr>
          <w:p>
            <w:pPr>
              <w:spacing w:after="40"/>
            </w:pPr>
            <w:r>
              <w:rPr>
                <w:color w:val="333333"/>
                <w:sz w:val="20"/>
              </w:rPr>
              <w:t>Room rent &gt; ₹5,000/day (non-ICU)</w:t>
            </w:r>
          </w:p>
        </w:tc>
        <w:tc>
          <w:tcPr>
            <w:tcW w:type="dxa" w:w="5760"/>
          </w:tcPr>
          <w:p>
            <w:pPr>
              <w:spacing w:after="40"/>
            </w:pPr>
            <w:r>
              <w:rPr>
                <w:color w:val="333333"/>
                <w:sz w:val="20"/>
              </w:rPr>
              <w:t>5% GST (no ITC) — w.e.f. 18-Jul-2022</w:t>
            </w:r>
          </w:p>
        </w:tc>
      </w:tr>
      <w:tr>
        <w:tc>
          <w:tcPr>
            <w:tcW w:type="dxa" w:w="3744"/>
            <w:shd w:val="clear" w:color="auto" w:fill="F7F9FB"/>
          </w:tcPr>
          <w:p>
            <w:pPr>
              <w:spacing w:after="40"/>
            </w:pPr>
            <w:r>
              <w:rPr>
                <w:color w:val="333333"/>
                <w:sz w:val="20"/>
              </w:rPr>
              <w:t>Cosmetic / aesthetic surgery</w:t>
            </w:r>
          </w:p>
        </w:tc>
        <w:tc>
          <w:tcPr>
            <w:tcW w:type="dxa" w:w="5760"/>
            <w:shd w:val="clear" w:color="auto" w:fill="F7F9FB"/>
          </w:tcPr>
          <w:p>
            <w:pPr>
              <w:spacing w:after="40"/>
            </w:pPr>
            <w:r>
              <w:rPr>
                <w:color w:val="333333"/>
                <w:sz w:val="20"/>
              </w:rPr>
              <w:t>18% GST applicable</w:t>
            </w:r>
          </w:p>
        </w:tc>
      </w:tr>
      <w:tr>
        <w:tc>
          <w:tcPr>
            <w:tcW w:type="dxa" w:w="3744"/>
          </w:tcPr>
          <w:p>
            <w:pPr>
              <w:spacing w:after="40"/>
            </w:pPr>
            <w:r>
              <w:rPr>
                <w:color w:val="333333"/>
                <w:sz w:val="20"/>
              </w:rPr>
              <w:t>Ambulance</w:t>
            </w:r>
          </w:p>
        </w:tc>
        <w:tc>
          <w:tcPr>
            <w:tcW w:type="dxa" w:w="5760"/>
          </w:tcPr>
          <w:p>
            <w:pPr>
              <w:spacing w:after="40"/>
            </w:pPr>
            <w:r>
              <w:rPr>
                <w:color w:val="333333"/>
                <w:sz w:val="20"/>
              </w:rPr>
              <w:t>GST exempt</w:t>
            </w:r>
          </w:p>
        </w:tc>
      </w:tr>
      <w:tr>
        <w:tc>
          <w:tcPr>
            <w:tcW w:type="dxa" w:w="3744"/>
            <w:shd w:val="clear" w:color="auto" w:fill="F7F9FB"/>
          </w:tcPr>
          <w:p>
            <w:pPr>
              <w:spacing w:after="40"/>
            </w:pPr>
            <w:r>
              <w:rPr>
                <w:color w:val="333333"/>
                <w:sz w:val="20"/>
              </w:rPr>
              <w:t>Cafeteria / canteen</w:t>
            </w:r>
          </w:p>
        </w:tc>
        <w:tc>
          <w:tcPr>
            <w:tcW w:type="dxa" w:w="5760"/>
            <w:shd w:val="clear" w:color="auto" w:fill="F7F9FB"/>
          </w:tcPr>
          <w:p>
            <w:pPr>
              <w:spacing w:after="40"/>
            </w:pPr>
            <w:r>
              <w:rPr>
                <w:color w:val="333333"/>
                <w:sz w:val="20"/>
              </w:rPr>
              <w:t>GST applicable</w:t>
            </w:r>
          </w:p>
        </w:tc>
      </w:tr>
      <w:tr>
        <w:tc>
          <w:tcPr>
            <w:tcW w:type="dxa" w:w="3744"/>
          </w:tcPr>
          <w:p>
            <w:pPr>
              <w:spacing w:after="40"/>
            </w:pPr>
            <w:r>
              <w:rPr>
                <w:color w:val="333333"/>
                <w:sz w:val="20"/>
              </w:rPr>
              <w:t>Mortuary services to outsiders</w:t>
            </w:r>
          </w:p>
        </w:tc>
        <w:tc>
          <w:tcPr>
            <w:tcW w:type="dxa" w:w="5760"/>
          </w:tcPr>
          <w:p>
            <w:pPr>
              <w:spacing w:after="40"/>
            </w:pPr>
            <w:r>
              <w:rPr>
                <w:color w:val="333333"/>
                <w:sz w:val="20"/>
              </w:rPr>
              <w:t>Case-by-case</w:t>
            </w:r>
          </w:p>
        </w:tc>
      </w:tr>
      <w:tr>
        <w:tc>
          <w:tcPr>
            <w:tcW w:type="dxa" w:w="3744"/>
            <w:shd w:val="clear" w:color="auto" w:fill="F7F9FB"/>
          </w:tcPr>
          <w:p>
            <w:pPr>
              <w:spacing w:after="40"/>
            </w:pPr>
            <w:r>
              <w:rPr>
                <w:color w:val="333333"/>
                <w:sz w:val="20"/>
              </w:rPr>
              <w:t>Doctor consultant fees (paid out)</w:t>
            </w:r>
          </w:p>
        </w:tc>
        <w:tc>
          <w:tcPr>
            <w:tcW w:type="dxa" w:w="5760"/>
            <w:shd w:val="clear" w:color="auto" w:fill="F7F9FB"/>
          </w:tcPr>
          <w:p>
            <w:pPr>
              <w:spacing w:after="40"/>
            </w:pPr>
            <w:r>
              <w:rPr>
                <w:color w:val="333333"/>
                <w:sz w:val="20"/>
              </w:rPr>
              <w:t>Sec 194J — TDS @ 10%</w:t>
            </w:r>
          </w:p>
        </w:tc>
      </w:tr>
      <w:tr>
        <w:tc>
          <w:tcPr>
            <w:tcW w:type="dxa" w:w="3744"/>
          </w:tcPr>
          <w:p>
            <w:pPr>
              <w:spacing w:after="40"/>
            </w:pPr>
            <w:r>
              <w:rPr>
                <w:color w:val="333333"/>
                <w:sz w:val="20"/>
              </w:rPr>
              <w:t>Rent paid (premises &gt; ₹2.4 L/yr)</w:t>
            </w:r>
          </w:p>
        </w:tc>
        <w:tc>
          <w:tcPr>
            <w:tcW w:type="dxa" w:w="5760"/>
          </w:tcPr>
          <w:p>
            <w:pPr>
              <w:spacing w:after="40"/>
            </w:pPr>
            <w:r>
              <w:rPr>
                <w:color w:val="333333"/>
                <w:sz w:val="20"/>
              </w:rPr>
              <w:t>Sec 194I — TDS @ 10%</w:t>
            </w:r>
          </w:p>
        </w:tc>
      </w:tr>
      <w:tr>
        <w:tc>
          <w:tcPr>
            <w:tcW w:type="dxa" w:w="3744"/>
            <w:shd w:val="clear" w:color="auto" w:fill="F7F9FB"/>
          </w:tcPr>
          <w:p>
            <w:pPr>
              <w:spacing w:after="40"/>
            </w:pPr>
            <w:r>
              <w:rPr>
                <w:color w:val="333333"/>
                <w:sz w:val="20"/>
              </w:rPr>
              <w:t>Contractor / housekeeping (&gt; ₹30k single, ₹1L p.a.)</w:t>
            </w:r>
          </w:p>
        </w:tc>
        <w:tc>
          <w:tcPr>
            <w:tcW w:type="dxa" w:w="5760"/>
            <w:shd w:val="clear" w:color="auto" w:fill="F7F9FB"/>
          </w:tcPr>
          <w:p>
            <w:pPr>
              <w:spacing w:after="40"/>
            </w:pPr>
            <w:r>
              <w:rPr>
                <w:color w:val="333333"/>
                <w:sz w:val="20"/>
              </w:rPr>
              <w:t>Sec 194C — TDS @ 1%/2%</w:t>
            </w:r>
          </w:p>
        </w:tc>
      </w:tr>
      <w:tr>
        <w:tc>
          <w:tcPr>
            <w:tcW w:type="dxa" w:w="3744"/>
          </w:tcPr>
          <w:p>
            <w:pPr>
              <w:spacing w:after="40"/>
            </w:pPr>
            <w:r>
              <w:rPr>
                <w:color w:val="333333"/>
                <w:sz w:val="20"/>
              </w:rPr>
              <w:t>Vendor purchase &gt; ₹50 L (single seller)</w:t>
            </w:r>
          </w:p>
        </w:tc>
        <w:tc>
          <w:tcPr>
            <w:tcW w:type="dxa" w:w="5760"/>
          </w:tcPr>
          <w:p>
            <w:pPr>
              <w:spacing w:after="40"/>
            </w:pPr>
            <w:r>
              <w:rPr>
                <w:color w:val="333333"/>
                <w:sz w:val="20"/>
              </w:rPr>
              <w:t>Sec 194Q — TDS @ 0.1%</w:t>
            </w:r>
          </w:p>
        </w:tc>
      </w:tr>
    </w:tbl>
    <w:p>
      <w:pPr>
        <w:spacing w:after="40"/>
      </w:pPr>
    </w:p>
    <w:p>
      <w:pPr>
        <w:keepNext/>
        <w:spacing w:before="280" w:after="120"/>
      </w:pPr>
      <w:r>
        <w:rPr>
          <w:b/>
          <w:color w:val="0B2A4A"/>
          <w:sz w:val="32"/>
        </w:rPr>
        <w:t>11.6 Revenue Cycle Management — the 13 steps</w:t>
      </w:r>
    </w:p>
    <w:p>
      <w:pPr>
        <w:spacing w:after="80" w:lineRule="auto" w:line="276"/>
      </w:pPr>
      <w:r>
        <w:rPr>
          <w:color w:val="333333"/>
          <w:sz w:val="22"/>
        </w:rPr>
        <w:t>RCM is the discipline of moving a patient encounter from registration to fully collected cash with zero leakage. World-class hospitals run RCM as a structured 13-step pipeline. HospitalOS implements every step natively.</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2880"/>
            <w:shd w:val="clear" w:color="auto" w:fill="0B2A4A"/>
          </w:tcPr>
          <w:p>
            <w:pPr>
              <w:spacing w:after="40"/>
            </w:pPr>
            <w:r>
              <w:rPr>
                <w:b/>
                <w:color w:val="FFFFFF"/>
                <w:sz w:val="21"/>
              </w:rPr>
              <w:t>Step</w:t>
            </w:r>
          </w:p>
        </w:tc>
        <w:tc>
          <w:tcPr>
            <w:tcW w:type="dxa" w:w="6624"/>
            <w:shd w:val="clear" w:color="auto" w:fill="0B2A4A"/>
          </w:tcPr>
          <w:p>
            <w:pPr>
              <w:spacing w:after="40"/>
            </w:pPr>
            <w:r>
              <w:rPr>
                <w:b/>
                <w:color w:val="FFFFFF"/>
                <w:sz w:val="21"/>
              </w:rPr>
              <w:t>What it does</w:t>
            </w:r>
          </w:p>
        </w:tc>
      </w:tr>
      <w:tr>
        <w:tc>
          <w:tcPr>
            <w:tcW w:type="dxa" w:w="2880"/>
          </w:tcPr>
          <w:p>
            <w:pPr>
              <w:spacing w:after="40"/>
            </w:pPr>
            <w:r>
              <w:rPr>
                <w:color w:val="333333"/>
                <w:sz w:val="20"/>
              </w:rPr>
              <w:t>1. Pre-registration</w:t>
            </w:r>
          </w:p>
        </w:tc>
        <w:tc>
          <w:tcPr>
            <w:tcW w:type="dxa" w:w="6624"/>
          </w:tcPr>
          <w:p>
            <w:pPr>
              <w:spacing w:after="40"/>
            </w:pPr>
            <w:r>
              <w:rPr>
                <w:color w:val="333333"/>
                <w:sz w:val="20"/>
              </w:rPr>
              <w:t>Demographics, ABHA, insurance eligibility check before the visit.</w:t>
            </w:r>
          </w:p>
        </w:tc>
      </w:tr>
      <w:tr>
        <w:tc>
          <w:tcPr>
            <w:tcW w:type="dxa" w:w="2880"/>
            <w:shd w:val="clear" w:color="auto" w:fill="F7F9FB"/>
          </w:tcPr>
          <w:p>
            <w:pPr>
              <w:spacing w:after="40"/>
            </w:pPr>
            <w:r>
              <w:rPr>
                <w:color w:val="333333"/>
                <w:sz w:val="20"/>
              </w:rPr>
              <w:t>2. Registration</w:t>
            </w:r>
          </w:p>
        </w:tc>
        <w:tc>
          <w:tcPr>
            <w:tcW w:type="dxa" w:w="6624"/>
            <w:shd w:val="clear" w:color="auto" w:fill="F7F9FB"/>
          </w:tcPr>
          <w:p>
            <w:pPr>
              <w:spacing w:after="40"/>
            </w:pPr>
            <w:r>
              <w:rPr>
                <w:color w:val="333333"/>
                <w:sz w:val="20"/>
              </w:rPr>
              <w:t>Confirm identity, capture consent, attach payer.</w:t>
            </w:r>
          </w:p>
        </w:tc>
      </w:tr>
      <w:tr>
        <w:tc>
          <w:tcPr>
            <w:tcW w:type="dxa" w:w="2880"/>
          </w:tcPr>
          <w:p>
            <w:pPr>
              <w:spacing w:after="40"/>
            </w:pPr>
            <w:r>
              <w:rPr>
                <w:color w:val="333333"/>
                <w:sz w:val="20"/>
              </w:rPr>
              <w:t>3. Eligibility &amp; benefits</w:t>
            </w:r>
          </w:p>
        </w:tc>
        <w:tc>
          <w:tcPr>
            <w:tcW w:type="dxa" w:w="6624"/>
          </w:tcPr>
          <w:p>
            <w:pPr>
              <w:spacing w:after="40"/>
            </w:pPr>
            <w:r>
              <w:rPr>
                <w:color w:val="333333"/>
                <w:sz w:val="20"/>
              </w:rPr>
              <w:t>Real-time check with TPA / scheme / corporate.</w:t>
            </w:r>
          </w:p>
        </w:tc>
      </w:tr>
      <w:tr>
        <w:tc>
          <w:tcPr>
            <w:tcW w:type="dxa" w:w="2880"/>
            <w:shd w:val="clear" w:color="auto" w:fill="F7F9FB"/>
          </w:tcPr>
          <w:p>
            <w:pPr>
              <w:spacing w:after="40"/>
            </w:pPr>
            <w:r>
              <w:rPr>
                <w:color w:val="333333"/>
                <w:sz w:val="20"/>
              </w:rPr>
              <w:t>4. Pre-authorization</w:t>
            </w:r>
          </w:p>
        </w:tc>
        <w:tc>
          <w:tcPr>
            <w:tcW w:type="dxa" w:w="6624"/>
            <w:shd w:val="clear" w:color="auto" w:fill="F7F9FB"/>
          </w:tcPr>
          <w:p>
            <w:pPr>
              <w:spacing w:after="40"/>
            </w:pPr>
            <w:r>
              <w:rPr>
                <w:color w:val="333333"/>
                <w:sz w:val="20"/>
              </w:rPr>
              <w:t>For cashless cases — submit, track, enhance.</w:t>
            </w:r>
          </w:p>
        </w:tc>
      </w:tr>
      <w:tr>
        <w:tc>
          <w:tcPr>
            <w:tcW w:type="dxa" w:w="2880"/>
          </w:tcPr>
          <w:p>
            <w:pPr>
              <w:spacing w:after="40"/>
            </w:pPr>
            <w:r>
              <w:rPr>
                <w:color w:val="333333"/>
                <w:sz w:val="20"/>
              </w:rPr>
              <w:t>5. Charge capture</w:t>
            </w:r>
          </w:p>
        </w:tc>
        <w:tc>
          <w:tcPr>
            <w:tcW w:type="dxa" w:w="6624"/>
          </w:tcPr>
          <w:p>
            <w:pPr>
              <w:spacing w:after="40"/>
            </w:pPr>
            <w:r>
              <w:rPr>
                <w:color w:val="333333"/>
                <w:sz w:val="20"/>
              </w:rPr>
              <w:t>Auto from EMR, lab, pharmacy, OT — no manual entry.</w:t>
            </w:r>
          </w:p>
        </w:tc>
      </w:tr>
      <w:tr>
        <w:tc>
          <w:tcPr>
            <w:tcW w:type="dxa" w:w="2880"/>
            <w:shd w:val="clear" w:color="auto" w:fill="F7F9FB"/>
          </w:tcPr>
          <w:p>
            <w:pPr>
              <w:spacing w:after="40"/>
            </w:pPr>
            <w:r>
              <w:rPr>
                <w:color w:val="333333"/>
                <w:sz w:val="20"/>
              </w:rPr>
              <w:t>6. Coding (ICD-10 / CPT)</w:t>
            </w:r>
          </w:p>
        </w:tc>
        <w:tc>
          <w:tcPr>
            <w:tcW w:type="dxa" w:w="6624"/>
            <w:shd w:val="clear" w:color="auto" w:fill="F7F9FB"/>
          </w:tcPr>
          <w:p>
            <w:pPr>
              <w:spacing w:after="40"/>
            </w:pPr>
            <w:r>
              <w:rPr>
                <w:color w:val="333333"/>
                <w:sz w:val="20"/>
              </w:rPr>
              <w:t>AI-assisted coding from clinical notes.</w:t>
            </w:r>
          </w:p>
        </w:tc>
      </w:tr>
      <w:tr>
        <w:tc>
          <w:tcPr>
            <w:tcW w:type="dxa" w:w="2880"/>
          </w:tcPr>
          <w:p>
            <w:pPr>
              <w:spacing w:after="40"/>
            </w:pPr>
            <w:r>
              <w:rPr>
                <w:color w:val="333333"/>
                <w:sz w:val="20"/>
              </w:rPr>
              <w:t>7. Claim creation</w:t>
            </w:r>
          </w:p>
        </w:tc>
        <w:tc>
          <w:tcPr>
            <w:tcW w:type="dxa" w:w="6624"/>
          </w:tcPr>
          <w:p>
            <w:pPr>
              <w:spacing w:after="40"/>
            </w:pPr>
            <w:r>
              <w:rPr>
                <w:color w:val="333333"/>
                <w:sz w:val="20"/>
              </w:rPr>
              <w:t>Generate claim with all required documents.</w:t>
            </w:r>
          </w:p>
        </w:tc>
      </w:tr>
      <w:tr>
        <w:tc>
          <w:tcPr>
            <w:tcW w:type="dxa" w:w="2880"/>
            <w:shd w:val="clear" w:color="auto" w:fill="F7F9FB"/>
          </w:tcPr>
          <w:p>
            <w:pPr>
              <w:spacing w:after="40"/>
            </w:pPr>
            <w:r>
              <w:rPr>
                <w:color w:val="333333"/>
                <w:sz w:val="20"/>
              </w:rPr>
              <w:t>8. Claim submission</w:t>
            </w:r>
          </w:p>
        </w:tc>
        <w:tc>
          <w:tcPr>
            <w:tcW w:type="dxa" w:w="6624"/>
            <w:shd w:val="clear" w:color="auto" w:fill="F7F9FB"/>
          </w:tcPr>
          <w:p>
            <w:pPr>
              <w:spacing w:after="40"/>
            </w:pPr>
            <w:r>
              <w:rPr>
                <w:color w:val="333333"/>
                <w:sz w:val="20"/>
              </w:rPr>
              <w:t>EDI / portal / paper — track every claim.</w:t>
            </w:r>
          </w:p>
        </w:tc>
      </w:tr>
      <w:tr>
        <w:tc>
          <w:tcPr>
            <w:tcW w:type="dxa" w:w="2880"/>
          </w:tcPr>
          <w:p>
            <w:pPr>
              <w:spacing w:after="40"/>
            </w:pPr>
            <w:r>
              <w:rPr>
                <w:color w:val="333333"/>
                <w:sz w:val="20"/>
              </w:rPr>
              <w:t>9. Remittance posting</w:t>
            </w:r>
          </w:p>
        </w:tc>
        <w:tc>
          <w:tcPr>
            <w:tcW w:type="dxa" w:w="6624"/>
          </w:tcPr>
          <w:p>
            <w:pPr>
              <w:spacing w:after="40"/>
            </w:pPr>
            <w:r>
              <w:rPr>
                <w:color w:val="333333"/>
                <w:sz w:val="20"/>
              </w:rPr>
              <w:t>Match payment to claim, identify shortfalls.</w:t>
            </w:r>
          </w:p>
        </w:tc>
      </w:tr>
      <w:tr>
        <w:tc>
          <w:tcPr>
            <w:tcW w:type="dxa" w:w="2880"/>
            <w:shd w:val="clear" w:color="auto" w:fill="F7F9FB"/>
          </w:tcPr>
          <w:p>
            <w:pPr>
              <w:spacing w:after="40"/>
            </w:pPr>
            <w:r>
              <w:rPr>
                <w:color w:val="333333"/>
                <w:sz w:val="20"/>
              </w:rPr>
              <w:t>10. Denial management</w:t>
            </w:r>
          </w:p>
        </w:tc>
        <w:tc>
          <w:tcPr>
            <w:tcW w:type="dxa" w:w="6624"/>
            <w:shd w:val="clear" w:color="auto" w:fill="F7F9FB"/>
          </w:tcPr>
          <w:p>
            <w:pPr>
              <w:spacing w:after="40"/>
            </w:pPr>
            <w:r>
              <w:rPr>
                <w:color w:val="333333"/>
                <w:sz w:val="20"/>
              </w:rPr>
              <w:t>Categorize, appeal, resubmit, re-claim.</w:t>
            </w:r>
          </w:p>
        </w:tc>
      </w:tr>
      <w:tr>
        <w:tc>
          <w:tcPr>
            <w:tcW w:type="dxa" w:w="2880"/>
          </w:tcPr>
          <w:p>
            <w:pPr>
              <w:spacing w:after="40"/>
            </w:pPr>
            <w:r>
              <w:rPr>
                <w:color w:val="333333"/>
                <w:sz w:val="20"/>
              </w:rPr>
              <w:t>11. Patient billing</w:t>
            </w:r>
          </w:p>
        </w:tc>
        <w:tc>
          <w:tcPr>
            <w:tcW w:type="dxa" w:w="6624"/>
          </w:tcPr>
          <w:p>
            <w:pPr>
              <w:spacing w:after="40"/>
            </w:pPr>
            <w:r>
              <w:rPr>
                <w:color w:val="333333"/>
                <w:sz w:val="20"/>
              </w:rPr>
              <w:t>Final bill, residual amount, payment plan.</w:t>
            </w:r>
          </w:p>
        </w:tc>
      </w:tr>
      <w:tr>
        <w:tc>
          <w:tcPr>
            <w:tcW w:type="dxa" w:w="2880"/>
            <w:shd w:val="clear" w:color="auto" w:fill="F7F9FB"/>
          </w:tcPr>
          <w:p>
            <w:pPr>
              <w:spacing w:after="40"/>
            </w:pPr>
            <w:r>
              <w:rPr>
                <w:color w:val="333333"/>
                <w:sz w:val="20"/>
              </w:rPr>
              <w:t>12. Collections</w:t>
            </w:r>
          </w:p>
        </w:tc>
        <w:tc>
          <w:tcPr>
            <w:tcW w:type="dxa" w:w="6624"/>
            <w:shd w:val="clear" w:color="auto" w:fill="F7F9FB"/>
          </w:tcPr>
          <w:p>
            <w:pPr>
              <w:spacing w:after="40"/>
            </w:pPr>
            <w:r>
              <w:rPr>
                <w:color w:val="333333"/>
                <w:sz w:val="20"/>
              </w:rPr>
              <w:t>Dunning, calls, legal, write-off as last resort.</w:t>
            </w:r>
          </w:p>
        </w:tc>
      </w:tr>
      <w:tr>
        <w:tc>
          <w:tcPr>
            <w:tcW w:type="dxa" w:w="2880"/>
          </w:tcPr>
          <w:p>
            <w:pPr>
              <w:spacing w:after="40"/>
            </w:pPr>
            <w:r>
              <w:rPr>
                <w:color w:val="333333"/>
                <w:sz w:val="20"/>
              </w:rPr>
              <w:t>13. Reporting &amp; analytics</w:t>
            </w:r>
          </w:p>
        </w:tc>
        <w:tc>
          <w:tcPr>
            <w:tcW w:type="dxa" w:w="6624"/>
          </w:tcPr>
          <w:p>
            <w:pPr>
              <w:spacing w:after="40"/>
            </w:pPr>
            <w:r>
              <w:rPr>
                <w:color w:val="333333"/>
                <w:sz w:val="20"/>
              </w:rPr>
              <w:t>DSO, denial rate, collection rate, cost-to-collect.</w:t>
            </w:r>
          </w:p>
        </w:tc>
      </w:tr>
    </w:tbl>
    <w:p>
      <w:pPr>
        <w:spacing w:after="40"/>
      </w:pPr>
    </w:p>
    <w:p>
      <w:pPr>
        <w:keepNext/>
        <w:spacing w:before="280" w:after="120"/>
      </w:pPr>
      <w:r>
        <w:rPr>
          <w:b/>
          <w:color w:val="0B2A4A"/>
          <w:sz w:val="32"/>
        </w:rPr>
        <w:t>11.7 Hospital finance KPIs HospitalOS reports natively</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168"/>
            <w:shd w:val="clear" w:color="auto" w:fill="0B2A4A"/>
          </w:tcPr>
          <w:p>
            <w:pPr>
              <w:spacing w:after="40"/>
            </w:pPr>
            <w:r>
              <w:rPr>
                <w:b/>
                <w:color w:val="FFFFFF"/>
                <w:sz w:val="21"/>
              </w:rPr>
              <w:t>KPI</w:t>
            </w:r>
          </w:p>
        </w:tc>
        <w:tc>
          <w:tcPr>
            <w:tcW w:type="dxa" w:w="6336"/>
            <w:shd w:val="clear" w:color="auto" w:fill="0B2A4A"/>
          </w:tcPr>
          <w:p>
            <w:pPr>
              <w:spacing w:after="40"/>
            </w:pPr>
            <w:r>
              <w:rPr>
                <w:b/>
                <w:color w:val="FFFFFF"/>
                <w:sz w:val="21"/>
              </w:rPr>
              <w:t>Formula / meaning</w:t>
            </w:r>
          </w:p>
        </w:tc>
      </w:tr>
      <w:tr>
        <w:tc>
          <w:tcPr>
            <w:tcW w:type="dxa" w:w="3168"/>
          </w:tcPr>
          <w:p>
            <w:pPr>
              <w:spacing w:after="40"/>
            </w:pPr>
            <w:r>
              <w:rPr>
                <w:color w:val="333333"/>
                <w:sz w:val="20"/>
              </w:rPr>
              <w:t>Net Patient Revenue (NPR)</w:t>
            </w:r>
          </w:p>
        </w:tc>
        <w:tc>
          <w:tcPr>
            <w:tcW w:type="dxa" w:w="6336"/>
          </w:tcPr>
          <w:p>
            <w:pPr>
              <w:spacing w:after="40"/>
            </w:pPr>
            <w:r>
              <w:rPr>
                <w:color w:val="333333"/>
                <w:sz w:val="20"/>
              </w:rPr>
              <w:t>Gross revenue − discounts − write-offs − disallowances.</w:t>
            </w:r>
          </w:p>
        </w:tc>
      </w:tr>
      <w:tr>
        <w:tc>
          <w:tcPr>
            <w:tcW w:type="dxa" w:w="3168"/>
            <w:shd w:val="clear" w:color="auto" w:fill="F7F9FB"/>
          </w:tcPr>
          <w:p>
            <w:pPr>
              <w:spacing w:after="40"/>
            </w:pPr>
            <w:r>
              <w:rPr>
                <w:color w:val="333333"/>
                <w:sz w:val="20"/>
              </w:rPr>
              <w:t>Average Revenue Per Bed (ARPB)</w:t>
            </w:r>
          </w:p>
        </w:tc>
        <w:tc>
          <w:tcPr>
            <w:tcW w:type="dxa" w:w="6336"/>
            <w:shd w:val="clear" w:color="auto" w:fill="F7F9FB"/>
          </w:tcPr>
          <w:p>
            <w:pPr>
              <w:spacing w:after="40"/>
            </w:pPr>
            <w:r>
              <w:rPr>
                <w:color w:val="333333"/>
                <w:sz w:val="20"/>
              </w:rPr>
              <w:t>NPR ÷ operational beds; daily, monthly, yearly.</w:t>
            </w:r>
          </w:p>
        </w:tc>
      </w:tr>
      <w:tr>
        <w:tc>
          <w:tcPr>
            <w:tcW w:type="dxa" w:w="3168"/>
          </w:tcPr>
          <w:p>
            <w:pPr>
              <w:spacing w:after="40"/>
            </w:pPr>
            <w:r>
              <w:rPr>
                <w:color w:val="333333"/>
                <w:sz w:val="20"/>
              </w:rPr>
              <w:t>Cost per Patient Day (CPPD)</w:t>
            </w:r>
          </w:p>
        </w:tc>
        <w:tc>
          <w:tcPr>
            <w:tcW w:type="dxa" w:w="6336"/>
          </w:tcPr>
          <w:p>
            <w:pPr>
              <w:spacing w:after="40"/>
            </w:pPr>
            <w:r>
              <w:rPr>
                <w:color w:val="333333"/>
                <w:sz w:val="20"/>
              </w:rPr>
              <w:t>Total OpEx ÷ patient days.</w:t>
            </w:r>
          </w:p>
        </w:tc>
      </w:tr>
      <w:tr>
        <w:tc>
          <w:tcPr>
            <w:tcW w:type="dxa" w:w="3168"/>
            <w:shd w:val="clear" w:color="auto" w:fill="F7F9FB"/>
          </w:tcPr>
          <w:p>
            <w:pPr>
              <w:spacing w:after="40"/>
            </w:pPr>
            <w:r>
              <w:rPr>
                <w:color w:val="333333"/>
                <w:sz w:val="20"/>
              </w:rPr>
              <w:t>Bed Occupancy Rate (BOR)</w:t>
            </w:r>
          </w:p>
        </w:tc>
        <w:tc>
          <w:tcPr>
            <w:tcW w:type="dxa" w:w="6336"/>
            <w:shd w:val="clear" w:color="auto" w:fill="F7F9FB"/>
          </w:tcPr>
          <w:p>
            <w:pPr>
              <w:spacing w:after="40"/>
            </w:pPr>
            <w:r>
              <w:rPr>
                <w:color w:val="333333"/>
                <w:sz w:val="20"/>
              </w:rPr>
              <w:t>Occupied bed days ÷ available bed days × 100.</w:t>
            </w:r>
          </w:p>
        </w:tc>
      </w:tr>
      <w:tr>
        <w:tc>
          <w:tcPr>
            <w:tcW w:type="dxa" w:w="3168"/>
          </w:tcPr>
          <w:p>
            <w:pPr>
              <w:spacing w:after="40"/>
            </w:pPr>
            <w:r>
              <w:rPr>
                <w:color w:val="333333"/>
                <w:sz w:val="20"/>
              </w:rPr>
              <w:t>Average Length of Stay (ALOS)</w:t>
            </w:r>
          </w:p>
        </w:tc>
        <w:tc>
          <w:tcPr>
            <w:tcW w:type="dxa" w:w="6336"/>
          </w:tcPr>
          <w:p>
            <w:pPr>
              <w:spacing w:after="40"/>
            </w:pPr>
            <w:r>
              <w:rPr>
                <w:color w:val="333333"/>
                <w:sz w:val="20"/>
              </w:rPr>
              <w:t>Total bed days ÷ discharges; benchmark by case-mix.</w:t>
            </w:r>
          </w:p>
        </w:tc>
      </w:tr>
      <w:tr>
        <w:tc>
          <w:tcPr>
            <w:tcW w:type="dxa" w:w="3168"/>
            <w:shd w:val="clear" w:color="auto" w:fill="F7F9FB"/>
          </w:tcPr>
          <w:p>
            <w:pPr>
              <w:spacing w:after="40"/>
            </w:pPr>
            <w:r>
              <w:rPr>
                <w:color w:val="333333"/>
                <w:sz w:val="20"/>
              </w:rPr>
              <w:t>EBITDA margin</w:t>
            </w:r>
          </w:p>
        </w:tc>
        <w:tc>
          <w:tcPr>
            <w:tcW w:type="dxa" w:w="6336"/>
            <w:shd w:val="clear" w:color="auto" w:fill="F7F9FB"/>
          </w:tcPr>
          <w:p>
            <w:pPr>
              <w:spacing w:after="40"/>
            </w:pPr>
            <w:r>
              <w:rPr>
                <w:color w:val="333333"/>
                <w:sz w:val="20"/>
              </w:rPr>
              <w:t>Operating profit before interest, tax, depreciation, amortization.</w:t>
            </w:r>
          </w:p>
        </w:tc>
      </w:tr>
      <w:tr>
        <w:tc>
          <w:tcPr>
            <w:tcW w:type="dxa" w:w="3168"/>
          </w:tcPr>
          <w:p>
            <w:pPr>
              <w:spacing w:after="40"/>
            </w:pPr>
            <w:r>
              <w:rPr>
                <w:color w:val="333333"/>
                <w:sz w:val="20"/>
              </w:rPr>
              <w:t>AR Days (DSO)</w:t>
            </w:r>
          </w:p>
        </w:tc>
        <w:tc>
          <w:tcPr>
            <w:tcW w:type="dxa" w:w="6336"/>
          </w:tcPr>
          <w:p>
            <w:pPr>
              <w:spacing w:after="40"/>
            </w:pPr>
            <w:r>
              <w:rPr>
                <w:color w:val="333333"/>
                <w:sz w:val="20"/>
              </w:rPr>
              <w:t>Net AR ÷ daily NPR.</w:t>
            </w:r>
          </w:p>
        </w:tc>
      </w:tr>
      <w:tr>
        <w:tc>
          <w:tcPr>
            <w:tcW w:type="dxa" w:w="3168"/>
            <w:shd w:val="clear" w:color="auto" w:fill="F7F9FB"/>
          </w:tcPr>
          <w:p>
            <w:pPr>
              <w:spacing w:after="40"/>
            </w:pPr>
            <w:r>
              <w:rPr>
                <w:color w:val="333333"/>
                <w:sz w:val="20"/>
              </w:rPr>
              <w:t>Denial rate</w:t>
            </w:r>
          </w:p>
        </w:tc>
        <w:tc>
          <w:tcPr>
            <w:tcW w:type="dxa" w:w="6336"/>
            <w:shd w:val="clear" w:color="auto" w:fill="F7F9FB"/>
          </w:tcPr>
          <w:p>
            <w:pPr>
              <w:spacing w:after="40"/>
            </w:pPr>
            <w:r>
              <w:rPr>
                <w:color w:val="333333"/>
                <w:sz w:val="20"/>
              </w:rPr>
              <w:t>Denied claim value ÷ submitted claim value.</w:t>
            </w:r>
          </w:p>
        </w:tc>
      </w:tr>
      <w:tr>
        <w:tc>
          <w:tcPr>
            <w:tcW w:type="dxa" w:w="3168"/>
          </w:tcPr>
          <w:p>
            <w:pPr>
              <w:spacing w:after="40"/>
            </w:pPr>
            <w:r>
              <w:rPr>
                <w:color w:val="333333"/>
                <w:sz w:val="20"/>
              </w:rPr>
              <w:t>First-pass yield</w:t>
            </w:r>
          </w:p>
        </w:tc>
        <w:tc>
          <w:tcPr>
            <w:tcW w:type="dxa" w:w="6336"/>
          </w:tcPr>
          <w:p>
            <w:pPr>
              <w:spacing w:after="40"/>
            </w:pPr>
            <w:r>
              <w:rPr>
                <w:color w:val="333333"/>
                <w:sz w:val="20"/>
              </w:rPr>
              <w:t>Claims paid on first submission ÷ total claims.</w:t>
            </w:r>
          </w:p>
        </w:tc>
      </w:tr>
      <w:tr>
        <w:tc>
          <w:tcPr>
            <w:tcW w:type="dxa" w:w="3168"/>
            <w:shd w:val="clear" w:color="auto" w:fill="F7F9FB"/>
          </w:tcPr>
          <w:p>
            <w:pPr>
              <w:spacing w:after="40"/>
            </w:pPr>
            <w:r>
              <w:rPr>
                <w:color w:val="333333"/>
                <w:sz w:val="20"/>
              </w:rPr>
              <w:t>Cost-to-collect</w:t>
            </w:r>
          </w:p>
        </w:tc>
        <w:tc>
          <w:tcPr>
            <w:tcW w:type="dxa" w:w="6336"/>
            <w:shd w:val="clear" w:color="auto" w:fill="F7F9FB"/>
          </w:tcPr>
          <w:p>
            <w:pPr>
              <w:spacing w:after="40"/>
            </w:pPr>
            <w:r>
              <w:rPr>
                <w:color w:val="333333"/>
                <w:sz w:val="20"/>
              </w:rPr>
              <w:t>Total RCM cost ÷ total collections.</w:t>
            </w:r>
          </w:p>
        </w:tc>
      </w:tr>
      <w:tr>
        <w:tc>
          <w:tcPr>
            <w:tcW w:type="dxa" w:w="3168"/>
          </w:tcPr>
          <w:p>
            <w:pPr>
              <w:spacing w:after="40"/>
            </w:pPr>
            <w:r>
              <w:rPr>
                <w:color w:val="333333"/>
                <w:sz w:val="20"/>
              </w:rPr>
              <w:t>Doctor productivity</w:t>
            </w:r>
          </w:p>
        </w:tc>
        <w:tc>
          <w:tcPr>
            <w:tcW w:type="dxa" w:w="6336"/>
          </w:tcPr>
          <w:p>
            <w:pPr>
              <w:spacing w:after="40"/>
            </w:pPr>
            <w:r>
              <w:rPr>
                <w:color w:val="333333"/>
                <w:sz w:val="20"/>
              </w:rPr>
              <w:t>Revenue per doctor, per specialty, per branch.</w:t>
            </w:r>
          </w:p>
        </w:tc>
      </w:tr>
      <w:tr>
        <w:tc>
          <w:tcPr>
            <w:tcW w:type="dxa" w:w="3168"/>
            <w:shd w:val="clear" w:color="auto" w:fill="F7F9FB"/>
          </w:tcPr>
          <w:p>
            <w:pPr>
              <w:spacing w:after="40"/>
            </w:pPr>
            <w:r>
              <w:rPr>
                <w:color w:val="333333"/>
                <w:sz w:val="20"/>
              </w:rPr>
              <w:t>OR utilization</w:t>
            </w:r>
          </w:p>
        </w:tc>
        <w:tc>
          <w:tcPr>
            <w:tcW w:type="dxa" w:w="6336"/>
            <w:shd w:val="clear" w:color="auto" w:fill="F7F9FB"/>
          </w:tcPr>
          <w:p>
            <w:pPr>
              <w:spacing w:after="40"/>
            </w:pPr>
            <w:r>
              <w:rPr>
                <w:color w:val="333333"/>
                <w:sz w:val="20"/>
              </w:rPr>
              <w:t>Used OR minutes ÷ available OR minutes.</w:t>
            </w:r>
          </w:p>
        </w:tc>
      </w:tr>
      <w:tr>
        <w:tc>
          <w:tcPr>
            <w:tcW w:type="dxa" w:w="3168"/>
          </w:tcPr>
          <w:p>
            <w:pPr>
              <w:spacing w:after="40"/>
            </w:pPr>
            <w:r>
              <w:rPr>
                <w:color w:val="333333"/>
                <w:sz w:val="20"/>
              </w:rPr>
              <w:t>Pharmacy GMROI</w:t>
            </w:r>
          </w:p>
        </w:tc>
        <w:tc>
          <w:tcPr>
            <w:tcW w:type="dxa" w:w="6336"/>
          </w:tcPr>
          <w:p>
            <w:pPr>
              <w:spacing w:after="40"/>
            </w:pPr>
            <w:r>
              <w:rPr>
                <w:color w:val="333333"/>
                <w:sz w:val="20"/>
              </w:rPr>
              <w:t>Gross margin ÷ average inventory.</w:t>
            </w:r>
          </w:p>
        </w:tc>
      </w:tr>
      <w:tr>
        <w:tc>
          <w:tcPr>
            <w:tcW w:type="dxa" w:w="3168"/>
            <w:shd w:val="clear" w:color="auto" w:fill="F7F9FB"/>
          </w:tcPr>
          <w:p>
            <w:pPr>
              <w:spacing w:after="40"/>
            </w:pPr>
            <w:r>
              <w:rPr>
                <w:color w:val="333333"/>
                <w:sz w:val="20"/>
              </w:rPr>
              <w:t>Stock-out rate</w:t>
            </w:r>
          </w:p>
        </w:tc>
        <w:tc>
          <w:tcPr>
            <w:tcW w:type="dxa" w:w="6336"/>
            <w:shd w:val="clear" w:color="auto" w:fill="F7F9FB"/>
          </w:tcPr>
          <w:p>
            <w:pPr>
              <w:spacing w:after="40"/>
            </w:pPr>
            <w:r>
              <w:rPr>
                <w:color w:val="333333"/>
                <w:sz w:val="20"/>
              </w:rPr>
              <w:t>Drug stock-outs as % of total drug requests.</w:t>
            </w:r>
          </w:p>
        </w:tc>
      </w:tr>
      <w:tr>
        <w:tc>
          <w:tcPr>
            <w:tcW w:type="dxa" w:w="3168"/>
          </w:tcPr>
          <w:p>
            <w:pPr>
              <w:spacing w:after="40"/>
            </w:pPr>
            <w:r>
              <w:rPr>
                <w:color w:val="333333"/>
                <w:sz w:val="20"/>
              </w:rPr>
              <w:t>Days cash on hand</w:t>
            </w:r>
          </w:p>
        </w:tc>
        <w:tc>
          <w:tcPr>
            <w:tcW w:type="dxa" w:w="6336"/>
          </w:tcPr>
          <w:p>
            <w:pPr>
              <w:spacing w:after="40"/>
            </w:pPr>
            <w:r>
              <w:rPr>
                <w:color w:val="333333"/>
                <w:sz w:val="20"/>
              </w:rPr>
              <w:t>Cash + equivalents ÷ daily OpEx.</w:t>
            </w:r>
          </w:p>
        </w:tc>
      </w:tr>
    </w:tbl>
    <w:p>
      <w:pPr>
        <w:spacing w:after="40"/>
      </w:pPr>
    </w:p>
    <w:p>
      <w:pPr>
        <w:keepNext/>
        <w:spacing w:before="280" w:after="120"/>
      </w:pPr>
      <w:r>
        <w:rPr>
          <w:b/>
          <w:color w:val="0B2A4A"/>
          <w:sz w:val="32"/>
        </w:rPr>
        <w:t>11.8 Multi-branch &amp; inter-branch consolidation</w:t>
      </w:r>
    </w:p>
    <w:p>
      <w:pPr>
        <w:spacing w:after="80" w:lineRule="auto" w:line="276"/>
      </w:pPr>
      <w:r>
        <w:rPr>
          <w:color w:val="333333"/>
          <w:sz w:val="22"/>
        </w:rPr>
        <w:t>Apollo runs ~70 hospitals. Fortis, Manipal and Max each run 20–30. Multi-branch consolidation is non-negotiable. HospitalOS supports it at three levels:</w:t>
      </w:r>
    </w:p>
    <w:p>
      <w:pPr>
        <w:pStyle w:val="ListBullet"/>
        <w:spacing w:after="40"/>
        <w:ind w:left="360"/>
      </w:pPr>
      <w:r>
        <w:rPr>
          <w:color w:val="333333"/>
          <w:sz w:val="22"/>
        </w:rPr>
        <w:t>Branch books — each branch has its own complete set of books, GL, P&amp;L, balance sheet.</w:t>
      </w:r>
    </w:p>
    <w:p>
      <w:pPr>
        <w:pStyle w:val="ListBullet"/>
        <w:spacing w:after="40"/>
        <w:ind w:left="360"/>
      </w:pPr>
      <w:r>
        <w:rPr>
          <w:color w:val="333333"/>
          <w:sz w:val="22"/>
        </w:rPr>
        <w:t>Inter-branch transactions — drug transfers, doctor sharing, diagnostics referrals are booked as inter-branch payable/receivable.</w:t>
      </w:r>
    </w:p>
    <w:p>
      <w:pPr>
        <w:pStyle w:val="ListBullet"/>
        <w:spacing w:after="40"/>
        <w:ind w:left="360"/>
      </w:pPr>
      <w:r>
        <w:rPr>
          <w:color w:val="333333"/>
          <w:sz w:val="22"/>
        </w:rPr>
        <w:t>Group consolidation — auto-eliminates inter-branch entries, generates the group P&amp;L and balance sheet, supports IND-AS / IFRS.</w:t>
      </w:r>
    </w:p>
    <w:p>
      <w:pPr>
        <w:keepNext/>
        <w:spacing w:before="280" w:after="120"/>
      </w:pPr>
      <w:r>
        <w:rPr>
          <w:b/>
          <w:color w:val="0B2A4A"/>
          <w:sz w:val="32"/>
        </w:rPr>
        <w:t>11.9 Three-way matching for vendor payments</w:t>
      </w:r>
    </w:p>
    <w:p>
      <w:pPr>
        <w:spacing w:after="80" w:lineRule="auto" w:line="276"/>
      </w:pPr>
      <w:r>
        <w:rPr>
          <w:color w:val="333333"/>
          <w:sz w:val="22"/>
        </w:rPr>
        <w:t>Three-way matching (Purchase Order + Goods Received Note + Vendor Invoice) is the gold standard for vendor fraud prevention. HospitalOS enforces it as a hard requirement: no vendor payment is released until all three documents match within an approved tolerance. Any mismatch routes to a manager workflow.</w:t>
      </w:r>
    </w:p>
    <w:p>
      <w:pPr>
        <w:keepNext/>
        <w:spacing w:before="280" w:after="120"/>
      </w:pPr>
      <w:r>
        <w:rPr>
          <w:b/>
          <w:color w:val="0B2A4A"/>
          <w:sz w:val="32"/>
        </w:rPr>
        <w:t>11.10 Doctor incentives &amp; revenue sharing</w:t>
      </w:r>
    </w:p>
    <w:p>
      <w:pPr>
        <w:spacing w:after="80" w:lineRule="auto" w:line="276"/>
      </w:pPr>
      <w:r>
        <w:rPr>
          <w:color w:val="333333"/>
          <w:sz w:val="22"/>
        </w:rPr>
        <w:t>Most large Indian hospitals run a hybrid doctor compensation model: salary + consultation share + procedure share + wellness incentives. HospitalOS computes doctor incentives daily, attributes them to the right doctor, applies Section 194J TDS, and posts the journal entries to the GL automatically — eliminating the single biggest source of payroll disputes in the industry.</w:t>
      </w:r>
    </w:p>
    <w:p>
      <w:pPr>
        <w:keepNext/>
        <w:spacing w:before="280" w:after="120"/>
      </w:pPr>
      <w:r>
        <w:rPr>
          <w:b/>
          <w:color w:val="0B2A4A"/>
          <w:sz w:val="32"/>
        </w:rPr>
        <w:t>11.11 Closing the books — day-end, month-end, year-end</w:t>
      </w:r>
    </w:p>
    <w:p>
      <w:pPr>
        <w:spacing w:after="80" w:lineRule="auto" w:line="276"/>
      </w:pPr>
      <w:r>
        <w:rPr>
          <w:color w:val="333333"/>
          <w:sz w:val="22"/>
        </w:rPr>
        <w:t>HospitalOS automates the closing checklist. Day-end runs at midnight: cash count vs collections, advance/refund reconciliation, bank reconciliation queue, IPD running bill snapshot. Month-end runs accruals, depreciation, inventory variance, TPA aging, doctor incentives, payroll, statutory provisions. Year-end adds tax computations, IND-AS adjustments, audit packs, and statutory filings. Target month-end closing: 3 working days. Most hospitals today take 3–6 weeks.</w:t>
      </w:r>
    </w:p>
    <w:tbl>
      <w:tblPr>
        <w:tblW w:type="auto" w:w="0"/>
        <w:jc w:val="left"/>
        <w:tblLayout w:type="fixed"/>
        <w:tblLook w:firstColumn="1" w:firstRow="1" w:lastColumn="0" w:lastRow="0" w:noHBand="0" w:noVBand="1" w:val="04A0"/>
      </w:tblPr>
      <w:tblGrid>
        <w:gridCol w:w="9648"/>
      </w:tblGrid>
      <w:tr>
        <w:tc>
          <w:tcPr>
            <w:tcW w:type="dxa" w:w="9504"/>
            <w:shd w:val="clear" w:color="auto" w:fill="FFF1E5"/>
            <w:tcBorders>
              <w:top w:val="single" w:sz="8" w:space="0" w:color="E86A1F"/>
              <w:left w:val="single" w:sz="24" w:space="0" w:color="E86A1F"/>
              <w:bottom w:val="single" w:sz="8" w:space="0" w:color="E86A1F"/>
              <w:right w:val="single" w:sz="8" w:space="0" w:color="E86A1F"/>
            </w:tcBorders>
          </w:tcPr>
          <w:p>
            <w:pPr>
              <w:spacing w:after="40"/>
            </w:pPr>
            <w:r>
              <w:rPr>
                <w:b/>
                <w:color w:val="0B2A4A"/>
                <w:sz w:val="22"/>
              </w:rPr>
              <w:t>Why this is the killer module</w:t>
            </w:r>
          </w:p>
          <w:p>
            <w:pPr>
              <w:spacing w:after="40"/>
            </w:pPr>
            <w:r>
              <w:rPr>
                <w:color w:val="333333"/>
                <w:sz w:val="20"/>
              </w:rPr>
              <w:t>Every CFO of every hospital chain spends most of their day chasing numbers across an HMS and Tally. HospitalOS makes that work disappear. That alone is worth ₹2–5 crore per year per branch in saved leakage and faster decision-making.</w:t>
            </w:r>
          </w:p>
        </w:tc>
      </w:tr>
    </w:tbl>
    <w:p>
      <w:pPr>
        <w:spacing w:after="40"/>
      </w:pPr>
    </w:p>
    <w:p>
      <w:r>
        <w:br w:type="page"/>
      </w:r>
    </w:p>
    <w:p>
      <w:pPr>
        <w:keepNext/>
        <w:spacing w:before="360" w:after="160"/>
        <w:pBdr>
          <w:bottom w:val="single" w:sz="12" w:space="4" w:color="008496"/>
        </w:pBdr>
      </w:pPr>
      <w:r>
        <w:rPr>
          <w:b/>
          <w:color w:val="0B2A4A"/>
          <w:sz w:val="44"/>
        </w:rPr>
        <w:t>12. Tally Prime Integration — Reference Architecture</w:t>
      </w:r>
    </w:p>
    <w:p>
      <w:pPr>
        <w:spacing w:after="80" w:lineRule="auto" w:line="276"/>
      </w:pPr>
      <w:r>
        <w:rPr>
          <w:color w:val="333333"/>
          <w:sz w:val="22"/>
        </w:rPr>
        <w:t>Even hospitals that adopt HospitalOS as their accounting system will, in many cases, want to keep Tally Prime as their statutory / audit book. HospitalOS supports this via a first-class, real-time, bi-directional Tally connector. The connector is built on four interfaces, used in combination.</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456"/>
            <w:shd w:val="clear" w:color="auto" w:fill="0B2A4A"/>
          </w:tcPr>
          <w:p>
            <w:pPr>
              <w:spacing w:after="40"/>
            </w:pPr>
            <w:r>
              <w:rPr>
                <w:b/>
                <w:color w:val="FFFFFF"/>
                <w:sz w:val="21"/>
              </w:rPr>
              <w:t>Interface</w:t>
            </w:r>
          </w:p>
        </w:tc>
        <w:tc>
          <w:tcPr>
            <w:tcW w:type="dxa" w:w="6048"/>
            <w:shd w:val="clear" w:color="auto" w:fill="0B2A4A"/>
          </w:tcPr>
          <w:p>
            <w:pPr>
              <w:spacing w:after="40"/>
            </w:pPr>
            <w:r>
              <w:rPr>
                <w:b/>
                <w:color w:val="FFFFFF"/>
                <w:sz w:val="21"/>
              </w:rPr>
              <w:t>Role</w:t>
            </w:r>
          </w:p>
        </w:tc>
      </w:tr>
      <w:tr>
        <w:tc>
          <w:tcPr>
            <w:tcW w:type="dxa" w:w="3456"/>
          </w:tcPr>
          <w:p>
            <w:pPr>
              <w:spacing w:after="40"/>
            </w:pPr>
            <w:r>
              <w:rPr>
                <w:color w:val="333333"/>
                <w:sz w:val="20"/>
              </w:rPr>
              <w:t>XML / JSON HTTP gateway (port 9000)</w:t>
            </w:r>
          </w:p>
        </w:tc>
        <w:tc>
          <w:tcPr>
            <w:tcW w:type="dxa" w:w="6048"/>
          </w:tcPr>
          <w:p>
            <w:pPr>
              <w:spacing w:after="40"/>
            </w:pPr>
            <w:r>
              <w:rPr>
                <w:color w:val="333333"/>
                <w:sz w:val="20"/>
              </w:rPr>
              <w:t>Tally Prime exposes an HTTP gateway. HospitalOS posts vouchers and queries masters via XML/JSON. This is the primary push channel.</w:t>
            </w:r>
          </w:p>
        </w:tc>
      </w:tr>
      <w:tr>
        <w:tc>
          <w:tcPr>
            <w:tcW w:type="dxa" w:w="3456"/>
            <w:shd w:val="clear" w:color="auto" w:fill="F7F9FB"/>
          </w:tcPr>
          <w:p>
            <w:pPr>
              <w:spacing w:after="40"/>
            </w:pPr>
            <w:r>
              <w:rPr>
                <w:color w:val="333333"/>
                <w:sz w:val="20"/>
              </w:rPr>
              <w:t>ODBC</w:t>
            </w:r>
          </w:p>
        </w:tc>
        <w:tc>
          <w:tcPr>
            <w:tcW w:type="dxa" w:w="6048"/>
            <w:shd w:val="clear" w:color="auto" w:fill="F7F9FB"/>
          </w:tcPr>
          <w:p>
            <w:pPr>
              <w:spacing w:after="40"/>
            </w:pPr>
            <w:r>
              <w:rPr>
                <w:color w:val="333333"/>
                <w:sz w:val="20"/>
              </w:rPr>
              <w:t>Tally exposes ODBC for read access. Used for reconciliation reports and trial balance pull-back into HospitalOS dashboards.</w:t>
            </w:r>
          </w:p>
        </w:tc>
      </w:tr>
      <w:tr>
        <w:tc>
          <w:tcPr>
            <w:tcW w:type="dxa" w:w="3456"/>
          </w:tcPr>
          <w:p>
            <w:pPr>
              <w:spacing w:after="40"/>
            </w:pPr>
            <w:r>
              <w:rPr>
                <w:color w:val="333333"/>
                <w:sz w:val="20"/>
              </w:rPr>
              <w:t>TDL (Tally Definition Language)</w:t>
            </w:r>
          </w:p>
        </w:tc>
        <w:tc>
          <w:tcPr>
            <w:tcW w:type="dxa" w:w="6048"/>
          </w:tcPr>
          <w:p>
            <w:pPr>
              <w:spacing w:after="40"/>
            </w:pPr>
            <w:r>
              <w:rPr>
                <w:color w:val="333333"/>
                <w:sz w:val="20"/>
              </w:rPr>
              <w:t>Custom TDL files installed in Tally to expose extra fields, custom voucher types (e.g. inter-branch), and hospital-specific masters.</w:t>
            </w:r>
          </w:p>
        </w:tc>
      </w:tr>
      <w:tr>
        <w:tc>
          <w:tcPr>
            <w:tcW w:type="dxa" w:w="3456"/>
            <w:shd w:val="clear" w:color="auto" w:fill="F7F9FB"/>
          </w:tcPr>
          <w:p>
            <w:pPr>
              <w:spacing w:after="40"/>
            </w:pPr>
            <w:r>
              <w:rPr>
                <w:color w:val="333333"/>
                <w:sz w:val="20"/>
              </w:rPr>
              <w:t>File-based fallback</w:t>
            </w:r>
          </w:p>
        </w:tc>
        <w:tc>
          <w:tcPr>
            <w:tcW w:type="dxa" w:w="6048"/>
            <w:shd w:val="clear" w:color="auto" w:fill="F7F9FB"/>
          </w:tcPr>
          <w:p>
            <w:pPr>
              <w:spacing w:after="40"/>
            </w:pPr>
            <w:r>
              <w:rPr>
                <w:color w:val="333333"/>
                <w:sz w:val="20"/>
              </w:rPr>
              <w:t>For hospitals on Tally ERP 9 or with no network access to Tally — HospitalOS generates Tally-importable XML files dropped in a watched folder.</w:t>
            </w:r>
          </w:p>
        </w:tc>
      </w:tr>
    </w:tbl>
    <w:p>
      <w:pPr>
        <w:spacing w:after="40"/>
      </w:pPr>
    </w:p>
    <w:p>
      <w:pPr>
        <w:keepNext/>
        <w:spacing w:before="280" w:after="120"/>
      </w:pPr>
      <w:r>
        <w:rPr>
          <w:b/>
          <w:color w:val="0B2A4A"/>
          <w:sz w:val="32"/>
        </w:rPr>
        <w:t>12.1 What HospitalOS pushes to Tally</w:t>
      </w:r>
    </w:p>
    <w:p>
      <w:pPr>
        <w:pStyle w:val="ListBullet"/>
        <w:spacing w:after="40"/>
        <w:ind w:left="360"/>
      </w:pPr>
      <w:r>
        <w:rPr>
          <w:color w:val="333333"/>
          <w:sz w:val="22"/>
        </w:rPr>
        <w:t>Day-end consolidated sales voucher per service line (OPD, IPD, Lab, Pharmacy, OT, Radiology).</w:t>
      </w:r>
    </w:p>
    <w:p>
      <w:pPr>
        <w:pStyle w:val="ListBullet"/>
        <w:spacing w:after="40"/>
        <w:ind w:left="360"/>
      </w:pPr>
      <w:r>
        <w:rPr>
          <w:color w:val="333333"/>
          <w:sz w:val="22"/>
        </w:rPr>
        <w:t>Day-end receipts voucher (cash, card, UPI, NEFT) with sub-ledger reconciliation.</w:t>
      </w:r>
    </w:p>
    <w:p>
      <w:pPr>
        <w:pStyle w:val="ListBullet"/>
        <w:spacing w:after="40"/>
        <w:ind w:left="360"/>
      </w:pPr>
      <w:r>
        <w:rPr>
          <w:color w:val="333333"/>
          <w:sz w:val="22"/>
        </w:rPr>
        <w:t>Vendor invoices (after three-way match) with GST breakup and TDS deduction.</w:t>
      </w:r>
    </w:p>
    <w:p>
      <w:pPr>
        <w:pStyle w:val="ListBullet"/>
        <w:spacing w:after="40"/>
        <w:ind w:left="360"/>
      </w:pPr>
      <w:r>
        <w:rPr>
          <w:color w:val="333333"/>
          <w:sz w:val="22"/>
        </w:rPr>
        <w:t>Vendor payments (after approval) with bank ledger and TDS payable.</w:t>
      </w:r>
    </w:p>
    <w:p>
      <w:pPr>
        <w:pStyle w:val="ListBullet"/>
        <w:spacing w:after="40"/>
        <w:ind w:left="360"/>
      </w:pPr>
      <w:r>
        <w:rPr>
          <w:color w:val="333333"/>
          <w:sz w:val="22"/>
        </w:rPr>
        <w:t>Doctor fee provisions and payments (with Section 194J TDS).</w:t>
      </w:r>
    </w:p>
    <w:p>
      <w:pPr>
        <w:pStyle w:val="ListBullet"/>
        <w:spacing w:after="40"/>
        <w:ind w:left="360"/>
      </w:pPr>
      <w:r>
        <w:rPr>
          <w:color w:val="333333"/>
          <w:sz w:val="22"/>
        </w:rPr>
        <w:t>Payroll journal (after HR &amp; Payroll module run).</w:t>
      </w:r>
    </w:p>
    <w:p>
      <w:pPr>
        <w:pStyle w:val="ListBullet"/>
        <w:spacing w:after="40"/>
        <w:ind w:left="360"/>
      </w:pPr>
      <w:r>
        <w:rPr>
          <w:color w:val="333333"/>
          <w:sz w:val="22"/>
        </w:rPr>
        <w:t>Depreciation, accruals, prepayments, period-end provisions.</w:t>
      </w:r>
    </w:p>
    <w:p>
      <w:pPr>
        <w:pStyle w:val="ListBullet"/>
        <w:spacing w:after="40"/>
        <w:ind w:left="360"/>
      </w:pPr>
      <w:r>
        <w:rPr>
          <w:color w:val="333333"/>
          <w:sz w:val="22"/>
        </w:rPr>
        <w:t>Inventory adjustments (after stock-take or expiry write-off).</w:t>
      </w:r>
    </w:p>
    <w:p>
      <w:pPr>
        <w:pStyle w:val="ListBullet"/>
        <w:spacing w:after="40"/>
        <w:ind w:left="360"/>
      </w:pPr>
      <w:r>
        <w:rPr>
          <w:color w:val="333333"/>
          <w:sz w:val="22"/>
        </w:rPr>
        <w:t>Inter-branch transfer vouchers.</w:t>
      </w:r>
    </w:p>
    <w:p>
      <w:pPr>
        <w:keepNext/>
        <w:spacing w:before="280" w:after="120"/>
      </w:pPr>
      <w:r>
        <w:rPr>
          <w:b/>
          <w:color w:val="0B2A4A"/>
          <w:sz w:val="32"/>
        </w:rPr>
        <w:t>12.2 What HospitalOS pulls from Tally</w:t>
      </w:r>
    </w:p>
    <w:p>
      <w:pPr>
        <w:pStyle w:val="ListBullet"/>
        <w:spacing w:after="40"/>
        <w:ind w:left="360"/>
      </w:pPr>
      <w:r>
        <w:rPr>
          <w:color w:val="333333"/>
          <w:sz w:val="22"/>
        </w:rPr>
        <w:t>Bank statements (where uploaded into Tally first).</w:t>
      </w:r>
    </w:p>
    <w:p>
      <w:pPr>
        <w:pStyle w:val="ListBullet"/>
        <w:spacing w:after="40"/>
        <w:ind w:left="360"/>
      </w:pPr>
      <w:r>
        <w:rPr>
          <w:color w:val="333333"/>
          <w:sz w:val="22"/>
        </w:rPr>
        <w:t>Trial balance, P&amp;L, Balance Sheet snapshots for reconciliation.</w:t>
      </w:r>
    </w:p>
    <w:p>
      <w:pPr>
        <w:pStyle w:val="ListBullet"/>
        <w:spacing w:after="40"/>
        <w:ind w:left="360"/>
      </w:pPr>
      <w:r>
        <w:rPr>
          <w:color w:val="333333"/>
          <w:sz w:val="22"/>
        </w:rPr>
        <w:t>Vendor / customer master updates (where Tally is master of record).</w:t>
      </w:r>
    </w:p>
    <w:p>
      <w:pPr>
        <w:pStyle w:val="ListBullet"/>
        <w:spacing w:after="40"/>
        <w:ind w:left="360"/>
      </w:pPr>
      <w:r>
        <w:rPr>
          <w:color w:val="333333"/>
          <w:sz w:val="22"/>
        </w:rPr>
        <w:t>Audit-locked period flags so HospitalOS does not post into closed periods.</w:t>
      </w:r>
    </w:p>
    <w:p>
      <w:pPr>
        <w:keepNext/>
        <w:spacing w:before="280" w:after="120"/>
      </w:pPr>
      <w:r>
        <w:rPr>
          <w:b/>
          <w:color w:val="0B2A4A"/>
          <w:sz w:val="32"/>
        </w:rPr>
        <w:t>12.3 Sync mechanics</w:t>
      </w:r>
    </w:p>
    <w:p>
      <w:pPr>
        <w:spacing w:after="80" w:lineRule="auto" w:line="276"/>
      </w:pPr>
      <w:r>
        <w:rPr>
          <w:color w:val="333333"/>
          <w:sz w:val="22"/>
        </w:rPr>
        <w:t>Sync runs in three modes: real-time (per voucher, async with retries and dead-letter queue), micro-batch (every 5 minutes for high-volume events), and end-of-day (full consolidated push for hospitals that prefer batch). Every push is idempotent — HospitalOS attaches a unique correlation ID so re-tries do not double-post. Every push is logged in an immutable Tally Sync Ledger inside HospitalOS, queryable by voucher number, GUID, branch, and period.</w:t>
      </w:r>
    </w:p>
    <w:p>
      <w:pPr>
        <w:keepNext/>
        <w:spacing w:before="280" w:after="120"/>
      </w:pPr>
      <w:r>
        <w:rPr>
          <w:b/>
          <w:color w:val="0B2A4A"/>
          <w:sz w:val="32"/>
        </w:rPr>
        <w:t>12.4 Why this matters</w:t>
      </w:r>
    </w:p>
    <w:p>
      <w:pPr>
        <w:spacing w:after="80" w:lineRule="auto" w:line="276"/>
      </w:pPr>
      <w:r>
        <w:rPr>
          <w:color w:val="333333"/>
          <w:sz w:val="22"/>
        </w:rPr>
        <w:t>Today, Indian hospitals reconcile HMS and Tally manually, line by line, every month. The reconciliation team is 3–8 accountants per branch. HospitalOS reduces this work by 90%+, while making the books auditable in real time. Tally integration is the single fastest way to convince a hospital CFO to switch HMS. It is the wedge.</w:t>
      </w:r>
    </w:p>
    <w:p>
      <w:r>
        <w:br w:type="page"/>
      </w:r>
    </w:p>
    <w:p>
      <w:pPr>
        <w:keepNext/>
        <w:spacing w:before="360" w:after="160"/>
        <w:pBdr>
          <w:bottom w:val="single" w:sz="12" w:space="4" w:color="008496"/>
        </w:pBdr>
      </w:pPr>
      <w:r>
        <w:rPr>
          <w:b/>
          <w:color w:val="0B2A4A"/>
          <w:sz w:val="44"/>
        </w:rPr>
        <w:t>13. Module 9 — HR &amp; Payroll</w:t>
      </w:r>
    </w:p>
    <w:p>
      <w:pPr>
        <w:keepNext/>
        <w:spacing w:before="280" w:after="120"/>
      </w:pPr>
      <w:r>
        <w:rPr>
          <w:b/>
          <w:color w:val="0B2A4A"/>
          <w:sz w:val="32"/>
        </w:rPr>
        <w:t>13.1 What this module owns</w:t>
      </w:r>
    </w:p>
    <w:p>
      <w:pPr>
        <w:spacing w:after="80" w:lineRule="auto" w:line="276"/>
      </w:pPr>
      <w:r>
        <w:rPr>
          <w:color w:val="333333"/>
          <w:sz w:val="22"/>
        </w:rPr>
        <w:t>Employee master, organization structure, recruitment, onboarding, attendance, leave, shift scheduling (24x7 hospital reality), payroll, statutory deductions, performance, training, credentialing, exit. Tightly integrated with Finance (payroll JE), Doctor scheduling (OPD/OT), and Compliance (NABH staffing norms).</w:t>
      </w:r>
    </w:p>
    <w:p>
      <w:pPr>
        <w:keepNext/>
        <w:spacing w:before="280" w:after="120"/>
      </w:pPr>
      <w:r>
        <w:rPr>
          <w:b/>
          <w:color w:val="0B2A4A"/>
          <w:sz w:val="32"/>
        </w:rPr>
        <w:t>13.2 Industry-grade feature set</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168"/>
            <w:shd w:val="clear" w:color="auto" w:fill="0B2A4A"/>
          </w:tcPr>
          <w:p>
            <w:pPr>
              <w:spacing w:after="40"/>
            </w:pPr>
            <w:r>
              <w:rPr>
                <w:b/>
                <w:color w:val="FFFFFF"/>
                <w:sz w:val="21"/>
              </w:rPr>
              <w:t>Feature</w:t>
            </w:r>
          </w:p>
        </w:tc>
        <w:tc>
          <w:tcPr>
            <w:tcW w:type="dxa" w:w="6336"/>
            <w:shd w:val="clear" w:color="auto" w:fill="0B2A4A"/>
          </w:tcPr>
          <w:p>
            <w:pPr>
              <w:spacing w:after="40"/>
            </w:pPr>
            <w:r>
              <w:rPr>
                <w:b/>
                <w:color w:val="FFFFFF"/>
                <w:sz w:val="21"/>
              </w:rPr>
              <w:t>What it does</w:t>
            </w:r>
          </w:p>
        </w:tc>
      </w:tr>
      <w:tr>
        <w:tc>
          <w:tcPr>
            <w:tcW w:type="dxa" w:w="3168"/>
          </w:tcPr>
          <w:p>
            <w:pPr>
              <w:spacing w:after="40"/>
            </w:pPr>
            <w:r>
              <w:rPr>
                <w:color w:val="333333"/>
                <w:sz w:val="20"/>
              </w:rPr>
              <w:t>Employee master</w:t>
            </w:r>
          </w:p>
        </w:tc>
        <w:tc>
          <w:tcPr>
            <w:tcW w:type="dxa" w:w="6336"/>
          </w:tcPr>
          <w:p>
            <w:pPr>
              <w:spacing w:after="40"/>
            </w:pPr>
            <w:r>
              <w:rPr>
                <w:color w:val="333333"/>
                <w:sz w:val="20"/>
              </w:rPr>
              <w:t>Personal, contact, statutory IDs (PAN, Aadhaar, UAN, ESIC), bank, family, qualifications.</w:t>
            </w:r>
          </w:p>
        </w:tc>
      </w:tr>
      <w:tr>
        <w:tc>
          <w:tcPr>
            <w:tcW w:type="dxa" w:w="3168"/>
            <w:shd w:val="clear" w:color="auto" w:fill="F7F9FB"/>
          </w:tcPr>
          <w:p>
            <w:pPr>
              <w:spacing w:after="40"/>
            </w:pPr>
            <w:r>
              <w:rPr>
                <w:color w:val="333333"/>
                <w:sz w:val="20"/>
              </w:rPr>
              <w:t>Org structure</w:t>
            </w:r>
          </w:p>
        </w:tc>
        <w:tc>
          <w:tcPr>
            <w:tcW w:type="dxa" w:w="6336"/>
            <w:shd w:val="clear" w:color="auto" w:fill="F7F9FB"/>
          </w:tcPr>
          <w:p>
            <w:pPr>
              <w:spacing w:after="40"/>
            </w:pPr>
            <w:r>
              <w:rPr>
                <w:color w:val="333333"/>
                <w:sz w:val="20"/>
              </w:rPr>
              <w:t>Branch → department → role → grade → reporting hierarchy.</w:t>
            </w:r>
          </w:p>
        </w:tc>
      </w:tr>
      <w:tr>
        <w:tc>
          <w:tcPr>
            <w:tcW w:type="dxa" w:w="3168"/>
          </w:tcPr>
          <w:p>
            <w:pPr>
              <w:spacing w:after="40"/>
            </w:pPr>
            <w:r>
              <w:rPr>
                <w:color w:val="333333"/>
                <w:sz w:val="20"/>
              </w:rPr>
              <w:t>Recruitment &amp; onboarding</w:t>
            </w:r>
          </w:p>
        </w:tc>
        <w:tc>
          <w:tcPr>
            <w:tcW w:type="dxa" w:w="6336"/>
          </w:tcPr>
          <w:p>
            <w:pPr>
              <w:spacing w:after="40"/>
            </w:pPr>
            <w:r>
              <w:rPr>
                <w:color w:val="333333"/>
                <w:sz w:val="20"/>
              </w:rPr>
              <w:t>Job requisition, ATS, offer letter, document collection, induction checklist.</w:t>
            </w:r>
          </w:p>
        </w:tc>
      </w:tr>
      <w:tr>
        <w:tc>
          <w:tcPr>
            <w:tcW w:type="dxa" w:w="3168"/>
            <w:shd w:val="clear" w:color="auto" w:fill="F7F9FB"/>
          </w:tcPr>
          <w:p>
            <w:pPr>
              <w:spacing w:after="40"/>
            </w:pPr>
            <w:r>
              <w:rPr>
                <w:color w:val="333333"/>
                <w:sz w:val="20"/>
              </w:rPr>
              <w:t>Credentialing</w:t>
            </w:r>
          </w:p>
        </w:tc>
        <w:tc>
          <w:tcPr>
            <w:tcW w:type="dxa" w:w="6336"/>
            <w:shd w:val="clear" w:color="auto" w:fill="F7F9FB"/>
          </w:tcPr>
          <w:p>
            <w:pPr>
              <w:spacing w:after="40"/>
            </w:pPr>
            <w:r>
              <w:rPr>
                <w:color w:val="333333"/>
                <w:sz w:val="20"/>
              </w:rPr>
              <w:t>Doctor MCI/NMC registration, specialty board, malpractice cover, license expiry alerts.</w:t>
            </w:r>
          </w:p>
        </w:tc>
      </w:tr>
      <w:tr>
        <w:tc>
          <w:tcPr>
            <w:tcW w:type="dxa" w:w="3168"/>
          </w:tcPr>
          <w:p>
            <w:pPr>
              <w:spacing w:after="40"/>
            </w:pPr>
            <w:r>
              <w:rPr>
                <w:color w:val="333333"/>
                <w:sz w:val="20"/>
              </w:rPr>
              <w:t>Attendance</w:t>
            </w:r>
          </w:p>
        </w:tc>
        <w:tc>
          <w:tcPr>
            <w:tcW w:type="dxa" w:w="6336"/>
          </w:tcPr>
          <w:p>
            <w:pPr>
              <w:spacing w:after="40"/>
            </w:pPr>
            <w:r>
              <w:rPr>
                <w:color w:val="333333"/>
                <w:sz w:val="20"/>
              </w:rPr>
              <w:t>Biometric (face / fingerprint), RFID, mobile geo-fenced — multi-modal.</w:t>
            </w:r>
          </w:p>
        </w:tc>
      </w:tr>
      <w:tr>
        <w:tc>
          <w:tcPr>
            <w:tcW w:type="dxa" w:w="3168"/>
            <w:shd w:val="clear" w:color="auto" w:fill="F7F9FB"/>
          </w:tcPr>
          <w:p>
            <w:pPr>
              <w:spacing w:after="40"/>
            </w:pPr>
            <w:r>
              <w:rPr>
                <w:color w:val="333333"/>
                <w:sz w:val="20"/>
              </w:rPr>
              <w:t>Shift scheduling</w:t>
            </w:r>
          </w:p>
        </w:tc>
        <w:tc>
          <w:tcPr>
            <w:tcW w:type="dxa" w:w="6336"/>
            <w:shd w:val="clear" w:color="auto" w:fill="F7F9FB"/>
          </w:tcPr>
          <w:p>
            <w:pPr>
              <w:spacing w:after="40"/>
            </w:pPr>
            <w:r>
              <w:rPr>
                <w:color w:val="333333"/>
                <w:sz w:val="20"/>
              </w:rPr>
              <w:t>24x7 nursing rotations, OT teams, ICU, ER — auto-rostering with skill mix.</w:t>
            </w:r>
          </w:p>
        </w:tc>
      </w:tr>
      <w:tr>
        <w:tc>
          <w:tcPr>
            <w:tcW w:type="dxa" w:w="3168"/>
          </w:tcPr>
          <w:p>
            <w:pPr>
              <w:spacing w:after="40"/>
            </w:pPr>
            <w:r>
              <w:rPr>
                <w:color w:val="333333"/>
                <w:sz w:val="20"/>
              </w:rPr>
              <w:t>Leave</w:t>
            </w:r>
          </w:p>
        </w:tc>
        <w:tc>
          <w:tcPr>
            <w:tcW w:type="dxa" w:w="6336"/>
          </w:tcPr>
          <w:p>
            <w:pPr>
              <w:spacing w:after="40"/>
            </w:pPr>
            <w:r>
              <w:rPr>
                <w:color w:val="333333"/>
                <w:sz w:val="20"/>
              </w:rPr>
              <w:t>Earned, casual, sick, maternity, paternity, comp-off, LOP — with hospital-specific policy.</w:t>
            </w:r>
          </w:p>
        </w:tc>
      </w:tr>
      <w:tr>
        <w:tc>
          <w:tcPr>
            <w:tcW w:type="dxa" w:w="3168"/>
            <w:shd w:val="clear" w:color="auto" w:fill="F7F9FB"/>
          </w:tcPr>
          <w:p>
            <w:pPr>
              <w:spacing w:after="40"/>
            </w:pPr>
            <w:r>
              <w:rPr>
                <w:color w:val="333333"/>
                <w:sz w:val="20"/>
              </w:rPr>
              <w:t>Payroll</w:t>
            </w:r>
          </w:p>
        </w:tc>
        <w:tc>
          <w:tcPr>
            <w:tcW w:type="dxa" w:w="6336"/>
            <w:shd w:val="clear" w:color="auto" w:fill="F7F9FB"/>
          </w:tcPr>
          <w:p>
            <w:pPr>
              <w:spacing w:after="40"/>
            </w:pPr>
            <w:r>
              <w:rPr>
                <w:color w:val="333333"/>
                <w:sz w:val="20"/>
              </w:rPr>
              <w:t>Earnings, deductions, statutory (PF, ESI, PT, TDS), variable pay, arrears, bonus, gratuity.</w:t>
            </w:r>
          </w:p>
        </w:tc>
      </w:tr>
      <w:tr>
        <w:tc>
          <w:tcPr>
            <w:tcW w:type="dxa" w:w="3168"/>
          </w:tcPr>
          <w:p>
            <w:pPr>
              <w:spacing w:after="40"/>
            </w:pPr>
            <w:r>
              <w:rPr>
                <w:color w:val="333333"/>
                <w:sz w:val="20"/>
              </w:rPr>
              <w:t>Statutory compliance</w:t>
            </w:r>
          </w:p>
        </w:tc>
        <w:tc>
          <w:tcPr>
            <w:tcW w:type="dxa" w:w="6336"/>
          </w:tcPr>
          <w:p>
            <w:pPr>
              <w:spacing w:after="40"/>
            </w:pPr>
            <w:r>
              <w:rPr>
                <w:color w:val="333333"/>
                <w:sz w:val="20"/>
              </w:rPr>
              <w:t>EPFO ECR, ESIC, PT, TDS 24Q, Form 16, gratuity, LWF — auto-filed.</w:t>
            </w:r>
          </w:p>
        </w:tc>
      </w:tr>
      <w:tr>
        <w:tc>
          <w:tcPr>
            <w:tcW w:type="dxa" w:w="3168"/>
            <w:shd w:val="clear" w:color="auto" w:fill="F7F9FB"/>
          </w:tcPr>
          <w:p>
            <w:pPr>
              <w:spacing w:after="40"/>
            </w:pPr>
            <w:r>
              <w:rPr>
                <w:color w:val="333333"/>
                <w:sz w:val="20"/>
              </w:rPr>
              <w:t>Doctor incentives</w:t>
            </w:r>
          </w:p>
        </w:tc>
        <w:tc>
          <w:tcPr>
            <w:tcW w:type="dxa" w:w="6336"/>
            <w:shd w:val="clear" w:color="auto" w:fill="F7F9FB"/>
          </w:tcPr>
          <w:p>
            <w:pPr>
              <w:spacing w:after="40"/>
            </w:pPr>
            <w:r>
              <w:rPr>
                <w:color w:val="333333"/>
                <w:sz w:val="20"/>
              </w:rPr>
              <w:t>Calculated daily, attributed correctly, taxed under Sec 194J, posted to GL.</w:t>
            </w:r>
          </w:p>
        </w:tc>
      </w:tr>
      <w:tr>
        <w:tc>
          <w:tcPr>
            <w:tcW w:type="dxa" w:w="3168"/>
          </w:tcPr>
          <w:p>
            <w:pPr>
              <w:spacing w:after="40"/>
            </w:pPr>
            <w:r>
              <w:rPr>
                <w:color w:val="333333"/>
                <w:sz w:val="20"/>
              </w:rPr>
              <w:t>Performance</w:t>
            </w:r>
          </w:p>
        </w:tc>
        <w:tc>
          <w:tcPr>
            <w:tcW w:type="dxa" w:w="6336"/>
          </w:tcPr>
          <w:p>
            <w:pPr>
              <w:spacing w:after="40"/>
            </w:pPr>
            <w:r>
              <w:rPr>
                <w:color w:val="333333"/>
                <w:sz w:val="20"/>
              </w:rPr>
              <w:t>Goals, reviews, 360, ratings, increments.</w:t>
            </w:r>
          </w:p>
        </w:tc>
      </w:tr>
      <w:tr>
        <w:tc>
          <w:tcPr>
            <w:tcW w:type="dxa" w:w="3168"/>
            <w:shd w:val="clear" w:color="auto" w:fill="F7F9FB"/>
          </w:tcPr>
          <w:p>
            <w:pPr>
              <w:spacing w:after="40"/>
            </w:pPr>
            <w:r>
              <w:rPr>
                <w:color w:val="333333"/>
                <w:sz w:val="20"/>
              </w:rPr>
              <w:t>Training &amp; CME</w:t>
            </w:r>
          </w:p>
        </w:tc>
        <w:tc>
          <w:tcPr>
            <w:tcW w:type="dxa" w:w="6336"/>
            <w:shd w:val="clear" w:color="auto" w:fill="F7F9FB"/>
          </w:tcPr>
          <w:p>
            <w:pPr>
              <w:spacing w:after="40"/>
            </w:pPr>
            <w:r>
              <w:rPr>
                <w:color w:val="333333"/>
                <w:sz w:val="20"/>
              </w:rPr>
              <w:t>NABH-mandatory training tracking, CME credits, expiry alerts.</w:t>
            </w:r>
          </w:p>
        </w:tc>
      </w:tr>
      <w:tr>
        <w:tc>
          <w:tcPr>
            <w:tcW w:type="dxa" w:w="3168"/>
          </w:tcPr>
          <w:p>
            <w:pPr>
              <w:spacing w:after="40"/>
            </w:pPr>
            <w:r>
              <w:rPr>
                <w:color w:val="333333"/>
                <w:sz w:val="20"/>
              </w:rPr>
              <w:t>Exit</w:t>
            </w:r>
          </w:p>
        </w:tc>
        <w:tc>
          <w:tcPr>
            <w:tcW w:type="dxa" w:w="6336"/>
          </w:tcPr>
          <w:p>
            <w:pPr>
              <w:spacing w:after="40"/>
            </w:pPr>
            <w:r>
              <w:rPr>
                <w:color w:val="333333"/>
                <w:sz w:val="20"/>
              </w:rPr>
              <w:t>Resignation, full and final, gratuity, experience letter, exit interview.</w:t>
            </w:r>
          </w:p>
        </w:tc>
      </w:tr>
    </w:tbl>
    <w:p>
      <w:pPr>
        <w:spacing w:after="40"/>
      </w:pPr>
    </w:p>
    <w:p>
      <w:pPr>
        <w:keepNext/>
        <w:spacing w:before="280" w:after="120"/>
      </w:pPr>
      <w:r>
        <w:rPr>
          <w:b/>
          <w:color w:val="0B2A4A"/>
          <w:sz w:val="32"/>
        </w:rPr>
        <w:t>13.3 Where competitors fail</w:t>
      </w:r>
    </w:p>
    <w:p>
      <w:pPr>
        <w:pStyle w:val="ListBullet"/>
        <w:spacing w:after="40"/>
        <w:ind w:left="360"/>
      </w:pPr>
      <w:r>
        <w:rPr>
          <w:color w:val="333333"/>
          <w:sz w:val="22"/>
        </w:rPr>
        <w:t>Most HMSes don't have HR/Payroll — hospitals run Greytip / Keka / Zoho People separately.</w:t>
      </w:r>
    </w:p>
    <w:p>
      <w:pPr>
        <w:pStyle w:val="ListBullet"/>
        <w:spacing w:after="40"/>
        <w:ind w:left="360"/>
      </w:pPr>
      <w:r>
        <w:rPr>
          <w:color w:val="333333"/>
          <w:sz w:val="22"/>
        </w:rPr>
        <w:t>Doctor incentives are computed in Excel — disputes are weekly events.</w:t>
      </w:r>
    </w:p>
    <w:p>
      <w:pPr>
        <w:pStyle w:val="ListBullet"/>
        <w:spacing w:after="40"/>
        <w:ind w:left="360"/>
      </w:pPr>
      <w:r>
        <w:rPr>
          <w:color w:val="333333"/>
          <w:sz w:val="22"/>
        </w:rPr>
        <w:t>Credentialing alerts (license expiry) are missed — NABH non-compliance risk.</w:t>
      </w:r>
    </w:p>
    <w:p>
      <w:pPr>
        <w:pStyle w:val="ListBullet"/>
        <w:spacing w:after="40"/>
        <w:ind w:left="360"/>
      </w:pPr>
      <w:r>
        <w:rPr>
          <w:color w:val="333333"/>
          <w:sz w:val="22"/>
        </w:rPr>
        <w:t>Shift scheduling is paper-based — burnout, errors, high attrition.</w:t>
      </w:r>
    </w:p>
    <w:p>
      <w:pPr>
        <w:keepNext/>
        <w:spacing w:before="280" w:after="120"/>
      </w:pPr>
      <w:r>
        <w:rPr>
          <w:b/>
          <w:color w:val="0B2A4A"/>
          <w:sz w:val="32"/>
        </w:rPr>
        <w:t>13.4 HospitalOS differentiators</w:t>
      </w:r>
    </w:p>
    <w:p>
      <w:pPr>
        <w:pStyle w:val="ListBullet"/>
        <w:spacing w:after="40"/>
        <w:ind w:left="360"/>
      </w:pPr>
      <w:r>
        <w:rPr>
          <w:color w:val="333333"/>
          <w:sz w:val="22"/>
        </w:rPr>
        <w:t>Integrated payroll + Sec 194J + statutory + GL push — one system, one source of truth.</w:t>
      </w:r>
    </w:p>
    <w:p>
      <w:pPr>
        <w:pStyle w:val="ListBullet"/>
        <w:spacing w:after="40"/>
        <w:ind w:left="360"/>
      </w:pPr>
      <w:r>
        <w:rPr>
          <w:color w:val="333333"/>
          <w:sz w:val="22"/>
        </w:rPr>
        <w:t>Auto-credentialing alerts: 90/60/30 days before any license / registration expires.</w:t>
      </w:r>
    </w:p>
    <w:p>
      <w:pPr>
        <w:pStyle w:val="ListBullet"/>
        <w:spacing w:after="40"/>
        <w:ind w:left="360"/>
      </w:pPr>
      <w:r>
        <w:rPr>
          <w:color w:val="333333"/>
          <w:sz w:val="22"/>
        </w:rPr>
        <w:t>AI-powered nurse rostering — minimizes burnout, maximizes skill mix, respects fairness.</w:t>
      </w:r>
    </w:p>
    <w:p>
      <w:pPr>
        <w:pStyle w:val="ListBullet"/>
        <w:spacing w:after="40"/>
        <w:ind w:left="360"/>
      </w:pPr>
      <w:r>
        <w:rPr>
          <w:color w:val="333333"/>
          <w:sz w:val="22"/>
        </w:rPr>
        <w:t>Doctor incentive engine fully automated, fully audit-trailed.</w:t>
      </w:r>
    </w:p>
    <w:p>
      <w:r>
        <w:br w:type="page"/>
      </w:r>
    </w:p>
    <w:p>
      <w:pPr>
        <w:keepNext/>
        <w:spacing w:before="360" w:after="160"/>
        <w:pBdr>
          <w:bottom w:val="single" w:sz="12" w:space="4" w:color="008496"/>
        </w:pBdr>
      </w:pPr>
      <w:r>
        <w:rPr>
          <w:b/>
          <w:color w:val="0B2A4A"/>
          <w:sz w:val="44"/>
        </w:rPr>
        <w:t>14. Module 10 — CRM &amp; Notifications</w:t>
      </w:r>
    </w:p>
    <w:p>
      <w:pPr>
        <w:keepNext/>
        <w:spacing w:before="280" w:after="120"/>
      </w:pPr>
      <w:r>
        <w:rPr>
          <w:b/>
          <w:color w:val="0B2A4A"/>
          <w:sz w:val="32"/>
        </w:rPr>
        <w:t>14.1 What this module owns</w:t>
      </w:r>
    </w:p>
    <w:p>
      <w:pPr>
        <w:spacing w:after="80" w:lineRule="auto" w:line="276"/>
      </w:pPr>
      <w:r>
        <w:rPr>
          <w:color w:val="333333"/>
          <w:sz w:val="22"/>
        </w:rPr>
        <w:t>Patient relationships across the entire lifecycle: pre-visit reminders, post-visit follow-ups, vaccination reminders, chronic care, NPS, complaints, loyalty, marketing campaigns, corporate / TPA partner CRM, doctor referral CRM, and multi-channel notifications (SMS, WhatsApp, email, push, voice).</w:t>
      </w:r>
    </w:p>
    <w:p>
      <w:pPr>
        <w:keepNext/>
        <w:spacing w:before="280" w:after="120"/>
      </w:pPr>
      <w:r>
        <w:rPr>
          <w:b/>
          <w:color w:val="0B2A4A"/>
          <w:sz w:val="32"/>
        </w:rPr>
        <w:t>14.2 Industry-grade feature set</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168"/>
            <w:shd w:val="clear" w:color="auto" w:fill="0B2A4A"/>
          </w:tcPr>
          <w:p>
            <w:pPr>
              <w:spacing w:after="40"/>
            </w:pPr>
            <w:r>
              <w:rPr>
                <w:b/>
                <w:color w:val="FFFFFF"/>
                <w:sz w:val="21"/>
              </w:rPr>
              <w:t>Feature</w:t>
            </w:r>
          </w:p>
        </w:tc>
        <w:tc>
          <w:tcPr>
            <w:tcW w:type="dxa" w:w="6336"/>
            <w:shd w:val="clear" w:color="auto" w:fill="0B2A4A"/>
          </w:tcPr>
          <w:p>
            <w:pPr>
              <w:spacing w:after="40"/>
            </w:pPr>
            <w:r>
              <w:rPr>
                <w:b/>
                <w:color w:val="FFFFFF"/>
                <w:sz w:val="21"/>
              </w:rPr>
              <w:t>What it does</w:t>
            </w:r>
          </w:p>
        </w:tc>
      </w:tr>
      <w:tr>
        <w:tc>
          <w:tcPr>
            <w:tcW w:type="dxa" w:w="3168"/>
          </w:tcPr>
          <w:p>
            <w:pPr>
              <w:spacing w:after="40"/>
            </w:pPr>
            <w:r>
              <w:rPr>
                <w:color w:val="333333"/>
                <w:sz w:val="20"/>
              </w:rPr>
              <w:t>Multi-channel notifications</w:t>
            </w:r>
          </w:p>
        </w:tc>
        <w:tc>
          <w:tcPr>
            <w:tcW w:type="dxa" w:w="6336"/>
          </w:tcPr>
          <w:p>
            <w:pPr>
              <w:spacing w:after="40"/>
            </w:pPr>
            <w:r>
              <w:rPr>
                <w:color w:val="333333"/>
                <w:sz w:val="20"/>
              </w:rPr>
              <w:t>WhatsApp, SMS, email, push, voice — with channel preference per patient.</w:t>
            </w:r>
          </w:p>
        </w:tc>
      </w:tr>
      <w:tr>
        <w:tc>
          <w:tcPr>
            <w:tcW w:type="dxa" w:w="3168"/>
            <w:shd w:val="clear" w:color="auto" w:fill="F7F9FB"/>
          </w:tcPr>
          <w:p>
            <w:pPr>
              <w:spacing w:after="40"/>
            </w:pPr>
            <w:r>
              <w:rPr>
                <w:color w:val="333333"/>
                <w:sz w:val="20"/>
              </w:rPr>
              <w:t>Templates &amp; approvals</w:t>
            </w:r>
          </w:p>
        </w:tc>
        <w:tc>
          <w:tcPr>
            <w:tcW w:type="dxa" w:w="6336"/>
            <w:shd w:val="clear" w:color="auto" w:fill="F7F9FB"/>
          </w:tcPr>
          <w:p>
            <w:pPr>
              <w:spacing w:after="40"/>
            </w:pPr>
            <w:r>
              <w:rPr>
                <w:color w:val="333333"/>
                <w:sz w:val="20"/>
              </w:rPr>
              <w:t>WhatsApp Business approved templates, DLT-registered SMS, GDPR/DPDP-compliant.</w:t>
            </w:r>
          </w:p>
        </w:tc>
      </w:tr>
      <w:tr>
        <w:tc>
          <w:tcPr>
            <w:tcW w:type="dxa" w:w="3168"/>
          </w:tcPr>
          <w:p>
            <w:pPr>
              <w:spacing w:after="40"/>
            </w:pPr>
            <w:r>
              <w:rPr>
                <w:color w:val="333333"/>
                <w:sz w:val="20"/>
              </w:rPr>
              <w:t>Appointment reminders</w:t>
            </w:r>
          </w:p>
        </w:tc>
        <w:tc>
          <w:tcPr>
            <w:tcW w:type="dxa" w:w="6336"/>
          </w:tcPr>
          <w:p>
            <w:pPr>
              <w:spacing w:after="40"/>
            </w:pPr>
            <w:r>
              <w:rPr>
                <w:color w:val="333333"/>
                <w:sz w:val="20"/>
              </w:rPr>
              <w:t>T-24h, T-2h with confirm/reschedule/cancel inline.</w:t>
            </w:r>
          </w:p>
        </w:tc>
      </w:tr>
      <w:tr>
        <w:tc>
          <w:tcPr>
            <w:tcW w:type="dxa" w:w="3168"/>
            <w:shd w:val="clear" w:color="auto" w:fill="F7F9FB"/>
          </w:tcPr>
          <w:p>
            <w:pPr>
              <w:spacing w:after="40"/>
            </w:pPr>
            <w:r>
              <w:rPr>
                <w:color w:val="333333"/>
                <w:sz w:val="20"/>
              </w:rPr>
              <w:t>Vaccination reminders</w:t>
            </w:r>
          </w:p>
        </w:tc>
        <w:tc>
          <w:tcPr>
            <w:tcW w:type="dxa" w:w="6336"/>
            <w:shd w:val="clear" w:color="auto" w:fill="F7F9FB"/>
          </w:tcPr>
          <w:p>
            <w:pPr>
              <w:spacing w:after="40"/>
            </w:pPr>
            <w:r>
              <w:rPr>
                <w:color w:val="333333"/>
                <w:sz w:val="20"/>
              </w:rPr>
              <w:t>Pediatric immunization schedule auto-reminders.</w:t>
            </w:r>
          </w:p>
        </w:tc>
      </w:tr>
      <w:tr>
        <w:tc>
          <w:tcPr>
            <w:tcW w:type="dxa" w:w="3168"/>
          </w:tcPr>
          <w:p>
            <w:pPr>
              <w:spacing w:after="40"/>
            </w:pPr>
            <w:r>
              <w:rPr>
                <w:color w:val="333333"/>
                <w:sz w:val="20"/>
              </w:rPr>
              <w:t>Chronic care follow-up</w:t>
            </w:r>
          </w:p>
        </w:tc>
        <w:tc>
          <w:tcPr>
            <w:tcW w:type="dxa" w:w="6336"/>
          </w:tcPr>
          <w:p>
            <w:pPr>
              <w:spacing w:after="40"/>
            </w:pPr>
            <w:r>
              <w:rPr>
                <w:color w:val="333333"/>
                <w:sz w:val="20"/>
              </w:rPr>
              <w:t>Diabetes, hypertension, dialysis, oncology — scheduled outreach.</w:t>
            </w:r>
          </w:p>
        </w:tc>
      </w:tr>
      <w:tr>
        <w:tc>
          <w:tcPr>
            <w:tcW w:type="dxa" w:w="3168"/>
            <w:shd w:val="clear" w:color="auto" w:fill="F7F9FB"/>
          </w:tcPr>
          <w:p>
            <w:pPr>
              <w:spacing w:after="40"/>
            </w:pPr>
            <w:r>
              <w:rPr>
                <w:color w:val="333333"/>
                <w:sz w:val="20"/>
              </w:rPr>
              <w:t>Lab report delivery</w:t>
            </w:r>
          </w:p>
        </w:tc>
        <w:tc>
          <w:tcPr>
            <w:tcW w:type="dxa" w:w="6336"/>
            <w:shd w:val="clear" w:color="auto" w:fill="F7F9FB"/>
          </w:tcPr>
          <w:p>
            <w:pPr>
              <w:spacing w:after="40"/>
            </w:pPr>
            <w:r>
              <w:rPr>
                <w:color w:val="333333"/>
                <w:sz w:val="20"/>
              </w:rPr>
              <w:t>WhatsApp + app + email — auto on validation.</w:t>
            </w:r>
          </w:p>
        </w:tc>
      </w:tr>
      <w:tr>
        <w:tc>
          <w:tcPr>
            <w:tcW w:type="dxa" w:w="3168"/>
          </w:tcPr>
          <w:p>
            <w:pPr>
              <w:spacing w:after="40"/>
            </w:pPr>
            <w:r>
              <w:rPr>
                <w:color w:val="333333"/>
                <w:sz w:val="20"/>
              </w:rPr>
              <w:t>Bill delivery &amp; payment</w:t>
            </w:r>
          </w:p>
        </w:tc>
        <w:tc>
          <w:tcPr>
            <w:tcW w:type="dxa" w:w="6336"/>
          </w:tcPr>
          <w:p>
            <w:pPr>
              <w:spacing w:after="40"/>
            </w:pPr>
            <w:r>
              <w:rPr>
                <w:color w:val="333333"/>
                <w:sz w:val="20"/>
              </w:rPr>
              <w:t>WhatsApp pay link, UPI deep link, payment gateway.</w:t>
            </w:r>
          </w:p>
        </w:tc>
      </w:tr>
      <w:tr>
        <w:tc>
          <w:tcPr>
            <w:tcW w:type="dxa" w:w="3168"/>
            <w:shd w:val="clear" w:color="auto" w:fill="F7F9FB"/>
          </w:tcPr>
          <w:p>
            <w:pPr>
              <w:spacing w:after="40"/>
            </w:pPr>
            <w:r>
              <w:rPr>
                <w:color w:val="333333"/>
                <w:sz w:val="20"/>
              </w:rPr>
              <w:t>NPS &amp; feedback</w:t>
            </w:r>
          </w:p>
        </w:tc>
        <w:tc>
          <w:tcPr>
            <w:tcW w:type="dxa" w:w="6336"/>
            <w:shd w:val="clear" w:color="auto" w:fill="F7F9FB"/>
          </w:tcPr>
          <w:p>
            <w:pPr>
              <w:spacing w:after="40"/>
            </w:pPr>
            <w:r>
              <w:rPr>
                <w:color w:val="333333"/>
                <w:sz w:val="20"/>
              </w:rPr>
              <w:t>Auto-trigger after every visit, route to ward / doctor / management.</w:t>
            </w:r>
          </w:p>
        </w:tc>
      </w:tr>
      <w:tr>
        <w:tc>
          <w:tcPr>
            <w:tcW w:type="dxa" w:w="3168"/>
          </w:tcPr>
          <w:p>
            <w:pPr>
              <w:spacing w:after="40"/>
            </w:pPr>
            <w:r>
              <w:rPr>
                <w:color w:val="333333"/>
                <w:sz w:val="20"/>
              </w:rPr>
              <w:t>Complaint workflow</w:t>
            </w:r>
          </w:p>
        </w:tc>
        <w:tc>
          <w:tcPr>
            <w:tcW w:type="dxa" w:w="6336"/>
          </w:tcPr>
          <w:p>
            <w:pPr>
              <w:spacing w:after="40"/>
            </w:pPr>
            <w:r>
              <w:rPr>
                <w:color w:val="333333"/>
                <w:sz w:val="20"/>
              </w:rPr>
              <w:t>SLA-driven, auto-escalating, NABH-ready audit trail.</w:t>
            </w:r>
          </w:p>
        </w:tc>
      </w:tr>
      <w:tr>
        <w:tc>
          <w:tcPr>
            <w:tcW w:type="dxa" w:w="3168"/>
            <w:shd w:val="clear" w:color="auto" w:fill="F7F9FB"/>
          </w:tcPr>
          <w:p>
            <w:pPr>
              <w:spacing w:after="40"/>
            </w:pPr>
            <w:r>
              <w:rPr>
                <w:color w:val="333333"/>
                <w:sz w:val="20"/>
              </w:rPr>
              <w:t>Loyalty / wellness</w:t>
            </w:r>
          </w:p>
        </w:tc>
        <w:tc>
          <w:tcPr>
            <w:tcW w:type="dxa" w:w="6336"/>
            <w:shd w:val="clear" w:color="auto" w:fill="F7F9FB"/>
          </w:tcPr>
          <w:p>
            <w:pPr>
              <w:spacing w:after="40"/>
            </w:pPr>
            <w:r>
              <w:rPr>
                <w:color w:val="333333"/>
                <w:sz w:val="20"/>
              </w:rPr>
              <w:t>Points, packages, health checks, family plans.</w:t>
            </w:r>
          </w:p>
        </w:tc>
      </w:tr>
      <w:tr>
        <w:tc>
          <w:tcPr>
            <w:tcW w:type="dxa" w:w="3168"/>
          </w:tcPr>
          <w:p>
            <w:pPr>
              <w:spacing w:after="40"/>
            </w:pPr>
            <w:r>
              <w:rPr>
                <w:color w:val="333333"/>
                <w:sz w:val="20"/>
              </w:rPr>
              <w:t>Doctor referral CRM</w:t>
            </w:r>
          </w:p>
        </w:tc>
        <w:tc>
          <w:tcPr>
            <w:tcW w:type="dxa" w:w="6336"/>
          </w:tcPr>
          <w:p>
            <w:pPr>
              <w:spacing w:after="40"/>
            </w:pPr>
            <w:r>
              <w:rPr>
                <w:color w:val="333333"/>
                <w:sz w:val="20"/>
              </w:rPr>
              <w:t>Track referring GPs, send thank-you reports, doctor portal for case status.</w:t>
            </w:r>
          </w:p>
        </w:tc>
      </w:tr>
      <w:tr>
        <w:tc>
          <w:tcPr>
            <w:tcW w:type="dxa" w:w="3168"/>
            <w:shd w:val="clear" w:color="auto" w:fill="F7F9FB"/>
          </w:tcPr>
          <w:p>
            <w:pPr>
              <w:spacing w:after="40"/>
            </w:pPr>
            <w:r>
              <w:rPr>
                <w:color w:val="333333"/>
                <w:sz w:val="20"/>
              </w:rPr>
              <w:t>Corporate / TPA CRM</w:t>
            </w:r>
          </w:p>
        </w:tc>
        <w:tc>
          <w:tcPr>
            <w:tcW w:type="dxa" w:w="6336"/>
            <w:shd w:val="clear" w:color="auto" w:fill="F7F9FB"/>
          </w:tcPr>
          <w:p>
            <w:pPr>
              <w:spacing w:after="40"/>
            </w:pPr>
            <w:r>
              <w:rPr>
                <w:color w:val="333333"/>
                <w:sz w:val="20"/>
              </w:rPr>
              <w:t>Account management for corporate tie-ups and TPA empanelment.</w:t>
            </w:r>
          </w:p>
        </w:tc>
      </w:tr>
      <w:tr>
        <w:tc>
          <w:tcPr>
            <w:tcW w:type="dxa" w:w="3168"/>
          </w:tcPr>
          <w:p>
            <w:pPr>
              <w:spacing w:after="40"/>
            </w:pPr>
            <w:r>
              <w:rPr>
                <w:color w:val="333333"/>
                <w:sz w:val="20"/>
              </w:rPr>
              <w:t>Marketing campaigns</w:t>
            </w:r>
          </w:p>
        </w:tc>
        <w:tc>
          <w:tcPr>
            <w:tcW w:type="dxa" w:w="6336"/>
          </w:tcPr>
          <w:p>
            <w:pPr>
              <w:spacing w:after="40"/>
            </w:pPr>
            <w:r>
              <w:rPr>
                <w:color w:val="333333"/>
                <w:sz w:val="20"/>
              </w:rPr>
              <w:t>Segmented, A/B tested, ROI-tracked.</w:t>
            </w:r>
          </w:p>
        </w:tc>
      </w:tr>
    </w:tbl>
    <w:p>
      <w:pPr>
        <w:spacing w:after="40"/>
      </w:pPr>
    </w:p>
    <w:p>
      <w:pPr>
        <w:keepNext/>
        <w:spacing w:before="280" w:after="120"/>
      </w:pPr>
      <w:r>
        <w:rPr>
          <w:b/>
          <w:color w:val="0B2A4A"/>
          <w:sz w:val="32"/>
        </w:rPr>
        <w:t>14.3 Where competitors fail</w:t>
      </w:r>
    </w:p>
    <w:p>
      <w:pPr>
        <w:pStyle w:val="ListBullet"/>
        <w:spacing w:after="40"/>
        <w:ind w:left="360"/>
      </w:pPr>
      <w:r>
        <w:rPr>
          <w:color w:val="333333"/>
          <w:sz w:val="22"/>
        </w:rPr>
        <w:t>Most HMSes do SMS only — WhatsApp Business API is rarely supported natively.</w:t>
      </w:r>
    </w:p>
    <w:p>
      <w:pPr>
        <w:pStyle w:val="ListBullet"/>
        <w:spacing w:after="40"/>
        <w:ind w:left="360"/>
      </w:pPr>
      <w:r>
        <w:rPr>
          <w:color w:val="333333"/>
          <w:sz w:val="22"/>
        </w:rPr>
        <w:t>Templates are not DLT/WhatsApp-approved — hospitals get blocked.</w:t>
      </w:r>
    </w:p>
    <w:p>
      <w:pPr>
        <w:pStyle w:val="ListBullet"/>
        <w:spacing w:after="40"/>
        <w:ind w:left="360"/>
      </w:pPr>
      <w:r>
        <w:rPr>
          <w:color w:val="333333"/>
          <w:sz w:val="22"/>
        </w:rPr>
        <w:t>NPS is collected but never closed-loop — feedback rots in a database.</w:t>
      </w:r>
    </w:p>
    <w:p>
      <w:pPr>
        <w:pStyle w:val="ListBullet"/>
        <w:spacing w:after="40"/>
        <w:ind w:left="360"/>
      </w:pPr>
      <w:r>
        <w:rPr>
          <w:color w:val="333333"/>
          <w:sz w:val="22"/>
        </w:rPr>
        <w:t>Doctor referral CRM is missing — referring GPs are not nurtured, referral revenue dries up.</w:t>
      </w:r>
    </w:p>
    <w:p>
      <w:pPr>
        <w:keepNext/>
        <w:spacing w:before="280" w:after="120"/>
      </w:pPr>
      <w:r>
        <w:rPr>
          <w:b/>
          <w:color w:val="0B2A4A"/>
          <w:sz w:val="32"/>
        </w:rPr>
        <w:t>14.4 HospitalOS differentiators</w:t>
      </w:r>
    </w:p>
    <w:p>
      <w:pPr>
        <w:pStyle w:val="ListBullet"/>
        <w:spacing w:after="40"/>
        <w:ind w:left="360"/>
      </w:pPr>
      <w:r>
        <w:rPr>
          <w:color w:val="333333"/>
          <w:sz w:val="22"/>
        </w:rPr>
        <w:t>WhatsApp Business native, with 98% open rate vs SMS 20% — proven in our category.</w:t>
      </w:r>
    </w:p>
    <w:p>
      <w:pPr>
        <w:pStyle w:val="ListBullet"/>
        <w:spacing w:after="40"/>
        <w:ind w:left="360"/>
      </w:pPr>
      <w:r>
        <w:rPr>
          <w:color w:val="333333"/>
          <w:sz w:val="22"/>
        </w:rPr>
        <w:t>Closed-loop NPS — every detractor auto-routed to ward manager + escalation chain.</w:t>
      </w:r>
    </w:p>
    <w:p>
      <w:pPr>
        <w:pStyle w:val="ListBullet"/>
        <w:spacing w:after="40"/>
        <w:ind w:left="360"/>
      </w:pPr>
      <w:r>
        <w:rPr>
          <w:color w:val="333333"/>
          <w:sz w:val="22"/>
        </w:rPr>
        <w:t>Doctor referral CRM with auto-thank-you summaries to referring GP.</w:t>
      </w:r>
    </w:p>
    <w:p>
      <w:pPr>
        <w:pStyle w:val="ListBullet"/>
        <w:spacing w:after="40"/>
        <w:ind w:left="360"/>
      </w:pPr>
      <w:r>
        <w:rPr>
          <w:color w:val="333333"/>
          <w:sz w:val="22"/>
        </w:rPr>
        <w:t>Marketing campaigns with full segmentation and ROI tracking.</w:t>
      </w:r>
    </w:p>
    <w:p>
      <w:pPr>
        <w:pStyle w:val="ListBullet"/>
        <w:spacing w:after="40"/>
        <w:ind w:left="360"/>
      </w:pPr>
      <w:r>
        <w:rPr>
          <w:color w:val="333333"/>
          <w:sz w:val="22"/>
        </w:rPr>
        <w:t>DPDP Act + DLT + WhatsApp template compliance baked in — no shutdowns.</w:t>
      </w:r>
    </w:p>
    <w:p>
      <w:r>
        <w:br w:type="page"/>
      </w:r>
    </w:p>
    <w:p>
      <w:pPr>
        <w:keepNext/>
        <w:spacing w:before="360" w:after="160"/>
        <w:pBdr>
          <w:bottom w:val="single" w:sz="12" w:space="4" w:color="008496"/>
        </w:pBdr>
      </w:pPr>
      <w:r>
        <w:rPr>
          <w:b/>
          <w:color w:val="0B2A4A"/>
          <w:sz w:val="44"/>
        </w:rPr>
        <w:t>15. Big-Hospital Architecture (Apollo / Fortis-grade)</w:t>
      </w:r>
    </w:p>
    <w:p>
      <w:pPr>
        <w:spacing w:after="80" w:lineRule="auto" w:line="276"/>
      </w:pPr>
      <w:r>
        <w:rPr>
          <w:color w:val="333333"/>
          <w:sz w:val="22"/>
        </w:rPr>
        <w:t>The 10 modules above describe the functional surface. This chapter describes the architectural surface — what HospitalOS must look like under the hood to run a 1,000-bed multi-branch chain at 10,000+ OPD/day.</w:t>
      </w:r>
    </w:p>
    <w:p>
      <w:pPr>
        <w:keepNext/>
        <w:spacing w:before="280" w:after="120"/>
      </w:pPr>
      <w:r>
        <w:rPr>
          <w:b/>
          <w:color w:val="0B2A4A"/>
          <w:sz w:val="32"/>
        </w:rPr>
        <w:t>15.1 Reference deployment</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2592"/>
            <w:shd w:val="clear" w:color="auto" w:fill="0B2A4A"/>
          </w:tcPr>
          <w:p>
            <w:pPr>
              <w:spacing w:after="40"/>
            </w:pPr>
            <w:r>
              <w:rPr>
                <w:b/>
                <w:color w:val="FFFFFF"/>
                <w:sz w:val="21"/>
              </w:rPr>
              <w:t>Layer</w:t>
            </w:r>
          </w:p>
        </w:tc>
        <w:tc>
          <w:tcPr>
            <w:tcW w:type="dxa" w:w="6912"/>
            <w:shd w:val="clear" w:color="auto" w:fill="0B2A4A"/>
          </w:tcPr>
          <w:p>
            <w:pPr>
              <w:spacing w:after="40"/>
            </w:pPr>
            <w:r>
              <w:rPr>
                <w:b/>
                <w:color w:val="FFFFFF"/>
                <w:sz w:val="21"/>
              </w:rPr>
              <w:t>Choice</w:t>
            </w:r>
          </w:p>
        </w:tc>
      </w:tr>
      <w:tr>
        <w:tc>
          <w:tcPr>
            <w:tcW w:type="dxa" w:w="2592"/>
          </w:tcPr>
          <w:p>
            <w:pPr>
              <w:spacing w:after="40"/>
            </w:pPr>
            <w:r>
              <w:rPr>
                <w:color w:val="333333"/>
                <w:sz w:val="20"/>
              </w:rPr>
              <w:t>Hosting</w:t>
            </w:r>
          </w:p>
        </w:tc>
        <w:tc>
          <w:tcPr>
            <w:tcW w:type="dxa" w:w="6912"/>
          </w:tcPr>
          <w:p>
            <w:pPr>
              <w:spacing w:after="40"/>
            </w:pPr>
            <w:r>
              <w:rPr>
                <w:color w:val="333333"/>
                <w:sz w:val="20"/>
              </w:rPr>
              <w:t>Hybrid cloud — AWS/Azure for elastic workloads, on-prem for PACS and DR.</w:t>
            </w:r>
          </w:p>
        </w:tc>
      </w:tr>
      <w:tr>
        <w:tc>
          <w:tcPr>
            <w:tcW w:type="dxa" w:w="2592"/>
            <w:shd w:val="clear" w:color="auto" w:fill="F7F9FB"/>
          </w:tcPr>
          <w:p>
            <w:pPr>
              <w:spacing w:after="40"/>
            </w:pPr>
            <w:r>
              <w:rPr>
                <w:color w:val="333333"/>
                <w:sz w:val="20"/>
              </w:rPr>
              <w:t>Architecture</w:t>
            </w:r>
          </w:p>
        </w:tc>
        <w:tc>
          <w:tcPr>
            <w:tcW w:type="dxa" w:w="6912"/>
            <w:shd w:val="clear" w:color="auto" w:fill="F7F9FB"/>
          </w:tcPr>
          <w:p>
            <w:pPr>
              <w:spacing w:after="40"/>
            </w:pPr>
            <w:r>
              <w:rPr>
                <w:color w:val="333333"/>
                <w:sz w:val="20"/>
              </w:rPr>
              <w:t>Modular monolith for the core, micro-services for high-traffic surfaces (auth, billing, EMR, lab, pharmacy).</w:t>
            </w:r>
          </w:p>
        </w:tc>
      </w:tr>
      <w:tr>
        <w:tc>
          <w:tcPr>
            <w:tcW w:type="dxa" w:w="2592"/>
          </w:tcPr>
          <w:p>
            <w:pPr>
              <w:spacing w:after="40"/>
            </w:pPr>
            <w:r>
              <w:rPr>
                <w:color w:val="333333"/>
                <w:sz w:val="20"/>
              </w:rPr>
              <w:t>Multi-tenant</w:t>
            </w:r>
          </w:p>
        </w:tc>
        <w:tc>
          <w:tcPr>
            <w:tcW w:type="dxa" w:w="6912"/>
          </w:tcPr>
          <w:p>
            <w:pPr>
              <w:spacing w:after="40"/>
            </w:pPr>
            <w:r>
              <w:rPr>
                <w:color w:val="333333"/>
                <w:sz w:val="20"/>
              </w:rPr>
              <w:t>Branch is the tenant; group is a meta-tenant; data isolation enforced at row level.</w:t>
            </w:r>
          </w:p>
        </w:tc>
      </w:tr>
      <w:tr>
        <w:tc>
          <w:tcPr>
            <w:tcW w:type="dxa" w:w="2592"/>
            <w:shd w:val="clear" w:color="auto" w:fill="F7F9FB"/>
          </w:tcPr>
          <w:p>
            <w:pPr>
              <w:spacing w:after="40"/>
            </w:pPr>
            <w:r>
              <w:rPr>
                <w:color w:val="333333"/>
                <w:sz w:val="20"/>
              </w:rPr>
              <w:t>Database</w:t>
            </w:r>
          </w:p>
        </w:tc>
        <w:tc>
          <w:tcPr>
            <w:tcW w:type="dxa" w:w="6912"/>
            <w:shd w:val="clear" w:color="auto" w:fill="F7F9FB"/>
          </w:tcPr>
          <w:p>
            <w:pPr>
              <w:spacing w:after="40"/>
            </w:pPr>
            <w:r>
              <w:rPr>
                <w:color w:val="333333"/>
                <w:sz w:val="20"/>
              </w:rPr>
              <w:t>PostgreSQL primary + read replicas + per-branch shards for hot tables. TimescaleDB for vitals.</w:t>
            </w:r>
          </w:p>
        </w:tc>
      </w:tr>
      <w:tr>
        <w:tc>
          <w:tcPr>
            <w:tcW w:type="dxa" w:w="2592"/>
          </w:tcPr>
          <w:p>
            <w:pPr>
              <w:spacing w:after="40"/>
            </w:pPr>
            <w:r>
              <w:rPr>
                <w:color w:val="333333"/>
                <w:sz w:val="20"/>
              </w:rPr>
              <w:t>Search</w:t>
            </w:r>
          </w:p>
        </w:tc>
        <w:tc>
          <w:tcPr>
            <w:tcW w:type="dxa" w:w="6912"/>
          </w:tcPr>
          <w:p>
            <w:pPr>
              <w:spacing w:after="40"/>
            </w:pPr>
            <w:r>
              <w:rPr>
                <w:color w:val="333333"/>
                <w:sz w:val="20"/>
              </w:rPr>
              <w:t>OpenSearch / Elasticsearch for patient lookup, free-text EMR search, MPI matching.</w:t>
            </w:r>
          </w:p>
        </w:tc>
      </w:tr>
      <w:tr>
        <w:tc>
          <w:tcPr>
            <w:tcW w:type="dxa" w:w="2592"/>
            <w:shd w:val="clear" w:color="auto" w:fill="F7F9FB"/>
          </w:tcPr>
          <w:p>
            <w:pPr>
              <w:spacing w:after="40"/>
            </w:pPr>
            <w:r>
              <w:rPr>
                <w:color w:val="333333"/>
                <w:sz w:val="20"/>
              </w:rPr>
              <w:t>Cache</w:t>
            </w:r>
          </w:p>
        </w:tc>
        <w:tc>
          <w:tcPr>
            <w:tcW w:type="dxa" w:w="6912"/>
            <w:shd w:val="clear" w:color="auto" w:fill="F7F9FB"/>
          </w:tcPr>
          <w:p>
            <w:pPr>
              <w:spacing w:after="40"/>
            </w:pPr>
            <w:r>
              <w:rPr>
                <w:color w:val="333333"/>
                <w:sz w:val="20"/>
              </w:rPr>
              <w:t>Redis for sessions, hot patient data, queue tokens, rate limiting.</w:t>
            </w:r>
          </w:p>
        </w:tc>
      </w:tr>
      <w:tr>
        <w:tc>
          <w:tcPr>
            <w:tcW w:type="dxa" w:w="2592"/>
          </w:tcPr>
          <w:p>
            <w:pPr>
              <w:spacing w:after="40"/>
            </w:pPr>
            <w:r>
              <w:rPr>
                <w:color w:val="333333"/>
                <w:sz w:val="20"/>
              </w:rPr>
              <w:t>Message bus</w:t>
            </w:r>
          </w:p>
        </w:tc>
        <w:tc>
          <w:tcPr>
            <w:tcW w:type="dxa" w:w="6912"/>
          </w:tcPr>
          <w:p>
            <w:pPr>
              <w:spacing w:after="40"/>
            </w:pPr>
            <w:r>
              <w:rPr>
                <w:color w:val="333333"/>
                <w:sz w:val="20"/>
              </w:rPr>
              <w:t>Kafka / NATS for module-to-module events (charge captured, lab resulted, drug dispensed).</w:t>
            </w:r>
          </w:p>
        </w:tc>
      </w:tr>
      <w:tr>
        <w:tc>
          <w:tcPr>
            <w:tcW w:type="dxa" w:w="2592"/>
            <w:shd w:val="clear" w:color="auto" w:fill="F7F9FB"/>
          </w:tcPr>
          <w:p>
            <w:pPr>
              <w:spacing w:after="40"/>
            </w:pPr>
            <w:r>
              <w:rPr>
                <w:color w:val="333333"/>
                <w:sz w:val="20"/>
              </w:rPr>
              <w:t>Object storage</w:t>
            </w:r>
          </w:p>
        </w:tc>
        <w:tc>
          <w:tcPr>
            <w:tcW w:type="dxa" w:w="6912"/>
            <w:shd w:val="clear" w:color="auto" w:fill="F7F9FB"/>
          </w:tcPr>
          <w:p>
            <w:pPr>
              <w:spacing w:after="40"/>
            </w:pPr>
            <w:r>
              <w:rPr>
                <w:color w:val="333333"/>
                <w:sz w:val="20"/>
              </w:rPr>
              <w:t>S3-compatible for documents, scans, lab images, voice recordings.</w:t>
            </w:r>
          </w:p>
        </w:tc>
      </w:tr>
      <w:tr>
        <w:tc>
          <w:tcPr>
            <w:tcW w:type="dxa" w:w="2592"/>
          </w:tcPr>
          <w:p>
            <w:pPr>
              <w:spacing w:after="40"/>
            </w:pPr>
            <w:r>
              <w:rPr>
                <w:color w:val="333333"/>
                <w:sz w:val="20"/>
              </w:rPr>
              <w:t>Authentication</w:t>
            </w:r>
          </w:p>
        </w:tc>
        <w:tc>
          <w:tcPr>
            <w:tcW w:type="dxa" w:w="6912"/>
          </w:tcPr>
          <w:p>
            <w:pPr>
              <w:spacing w:after="40"/>
            </w:pPr>
            <w:r>
              <w:rPr>
                <w:color w:val="333333"/>
                <w:sz w:val="20"/>
              </w:rPr>
              <w:t>OIDC / SAML, MFA mandatory, role-based + attribute-based access control.</w:t>
            </w:r>
          </w:p>
        </w:tc>
      </w:tr>
      <w:tr>
        <w:tc>
          <w:tcPr>
            <w:tcW w:type="dxa" w:w="2592"/>
            <w:shd w:val="clear" w:color="auto" w:fill="F7F9FB"/>
          </w:tcPr>
          <w:p>
            <w:pPr>
              <w:spacing w:after="40"/>
            </w:pPr>
            <w:r>
              <w:rPr>
                <w:color w:val="333333"/>
                <w:sz w:val="20"/>
              </w:rPr>
              <w:t>Observability</w:t>
            </w:r>
          </w:p>
        </w:tc>
        <w:tc>
          <w:tcPr>
            <w:tcW w:type="dxa" w:w="6912"/>
            <w:shd w:val="clear" w:color="auto" w:fill="F7F9FB"/>
          </w:tcPr>
          <w:p>
            <w:pPr>
              <w:spacing w:after="40"/>
            </w:pPr>
            <w:r>
              <w:rPr>
                <w:color w:val="333333"/>
                <w:sz w:val="20"/>
              </w:rPr>
              <w:t>OpenTelemetry, structured logs, tracing, SLO dashboards, anomaly alerts.</w:t>
            </w:r>
          </w:p>
        </w:tc>
      </w:tr>
      <w:tr>
        <w:tc>
          <w:tcPr>
            <w:tcW w:type="dxa" w:w="2592"/>
          </w:tcPr>
          <w:p>
            <w:pPr>
              <w:spacing w:after="40"/>
            </w:pPr>
            <w:r>
              <w:rPr>
                <w:color w:val="333333"/>
                <w:sz w:val="20"/>
              </w:rPr>
              <w:t>DR &amp; BCP</w:t>
            </w:r>
          </w:p>
        </w:tc>
        <w:tc>
          <w:tcPr>
            <w:tcW w:type="dxa" w:w="6912"/>
          </w:tcPr>
          <w:p>
            <w:pPr>
              <w:spacing w:after="40"/>
            </w:pPr>
            <w:r>
              <w:rPr>
                <w:color w:val="333333"/>
                <w:sz w:val="20"/>
              </w:rPr>
              <w:t>Three landing zones, RPO ≤ 5 min, RTO ≤ 1 hour, hot standby per branch.</w:t>
            </w:r>
          </w:p>
        </w:tc>
      </w:tr>
      <w:tr>
        <w:tc>
          <w:tcPr>
            <w:tcW w:type="dxa" w:w="2592"/>
            <w:shd w:val="clear" w:color="auto" w:fill="F7F9FB"/>
          </w:tcPr>
          <w:p>
            <w:pPr>
              <w:spacing w:after="40"/>
            </w:pPr>
            <w:r>
              <w:rPr>
                <w:color w:val="333333"/>
                <w:sz w:val="20"/>
              </w:rPr>
              <w:t>Compliance</w:t>
            </w:r>
          </w:p>
        </w:tc>
        <w:tc>
          <w:tcPr>
            <w:tcW w:type="dxa" w:w="6912"/>
            <w:shd w:val="clear" w:color="auto" w:fill="F7F9FB"/>
          </w:tcPr>
          <w:p>
            <w:pPr>
              <w:spacing w:after="40"/>
            </w:pPr>
            <w:r>
              <w:rPr>
                <w:color w:val="333333"/>
                <w:sz w:val="20"/>
              </w:rPr>
              <w:t>ABDM, NABH, IND-AS, HIPAA, GDPR, DPDP — encoded in data model + audit pipeline.</w:t>
            </w:r>
          </w:p>
        </w:tc>
      </w:tr>
    </w:tbl>
    <w:p>
      <w:pPr>
        <w:spacing w:after="40"/>
      </w:pPr>
    </w:p>
    <w:p>
      <w:pPr>
        <w:keepNext/>
        <w:spacing w:before="280" w:after="120"/>
      </w:pPr>
      <w:r>
        <w:rPr>
          <w:b/>
          <w:color w:val="0B2A4A"/>
          <w:sz w:val="32"/>
        </w:rPr>
        <w:t>15.2 Department-specific sub-modules required for big hospitals</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2592"/>
            <w:shd w:val="clear" w:color="auto" w:fill="0B2A4A"/>
          </w:tcPr>
          <w:p>
            <w:pPr>
              <w:spacing w:after="40"/>
            </w:pPr>
            <w:r>
              <w:rPr>
                <w:b/>
                <w:color w:val="FFFFFF"/>
                <w:sz w:val="21"/>
              </w:rPr>
              <w:t>Department</w:t>
            </w:r>
          </w:p>
        </w:tc>
        <w:tc>
          <w:tcPr>
            <w:tcW w:type="dxa" w:w="6912"/>
            <w:shd w:val="clear" w:color="auto" w:fill="0B2A4A"/>
          </w:tcPr>
          <w:p>
            <w:pPr>
              <w:spacing w:after="40"/>
            </w:pPr>
            <w:r>
              <w:rPr>
                <w:b/>
                <w:color w:val="FFFFFF"/>
                <w:sz w:val="21"/>
              </w:rPr>
              <w:t>Sub-module</w:t>
            </w:r>
          </w:p>
        </w:tc>
      </w:tr>
      <w:tr>
        <w:tc>
          <w:tcPr>
            <w:tcW w:type="dxa" w:w="2592"/>
          </w:tcPr>
          <w:p>
            <w:pPr>
              <w:spacing w:after="40"/>
            </w:pPr>
            <w:r>
              <w:rPr>
                <w:color w:val="333333"/>
                <w:sz w:val="20"/>
              </w:rPr>
              <w:t>Cardiology</w:t>
            </w:r>
          </w:p>
        </w:tc>
        <w:tc>
          <w:tcPr>
            <w:tcW w:type="dxa" w:w="6912"/>
          </w:tcPr>
          <w:p>
            <w:pPr>
              <w:spacing w:after="40"/>
            </w:pPr>
            <w:r>
              <w:rPr>
                <w:color w:val="333333"/>
                <w:sz w:val="20"/>
              </w:rPr>
              <w:t>Cath lab inventory, stent/balloon/guide-wire tracking, ECG/Echo integration, CCU monitoring.</w:t>
            </w:r>
          </w:p>
        </w:tc>
      </w:tr>
      <w:tr>
        <w:tc>
          <w:tcPr>
            <w:tcW w:type="dxa" w:w="2592"/>
            <w:shd w:val="clear" w:color="auto" w:fill="F7F9FB"/>
          </w:tcPr>
          <w:p>
            <w:pPr>
              <w:spacing w:after="40"/>
            </w:pPr>
            <w:r>
              <w:rPr>
                <w:color w:val="333333"/>
                <w:sz w:val="20"/>
              </w:rPr>
              <w:t>Oncology</w:t>
            </w:r>
          </w:p>
        </w:tc>
        <w:tc>
          <w:tcPr>
            <w:tcW w:type="dxa" w:w="6912"/>
            <w:shd w:val="clear" w:color="auto" w:fill="F7F9FB"/>
          </w:tcPr>
          <w:p>
            <w:pPr>
              <w:spacing w:after="40"/>
            </w:pPr>
            <w:r>
              <w:rPr>
                <w:color w:val="333333"/>
                <w:sz w:val="20"/>
              </w:rPr>
              <w:t>NCCN templates, chemo regimens, dose-banding, dose calculator, infusion chair scheduling, BMT tracking.</w:t>
            </w:r>
          </w:p>
        </w:tc>
      </w:tr>
      <w:tr>
        <w:tc>
          <w:tcPr>
            <w:tcW w:type="dxa" w:w="2592"/>
          </w:tcPr>
          <w:p>
            <w:pPr>
              <w:spacing w:after="40"/>
            </w:pPr>
            <w:r>
              <w:rPr>
                <w:color w:val="333333"/>
                <w:sz w:val="20"/>
              </w:rPr>
              <w:t>Orthopedics</w:t>
            </w:r>
          </w:p>
        </w:tc>
        <w:tc>
          <w:tcPr>
            <w:tcW w:type="dxa" w:w="6912"/>
          </w:tcPr>
          <w:p>
            <w:pPr>
              <w:spacing w:after="40"/>
            </w:pPr>
            <w:r>
              <w:rPr>
                <w:color w:val="333333"/>
                <w:sz w:val="20"/>
              </w:rPr>
              <w:t>Implant tracking (knee, hip, spine, plates, screws), BMI screening, OT count sheets.</w:t>
            </w:r>
          </w:p>
        </w:tc>
      </w:tr>
      <w:tr>
        <w:tc>
          <w:tcPr>
            <w:tcW w:type="dxa" w:w="2592"/>
            <w:shd w:val="clear" w:color="auto" w:fill="F7F9FB"/>
          </w:tcPr>
          <w:p>
            <w:pPr>
              <w:spacing w:after="40"/>
            </w:pPr>
            <w:r>
              <w:rPr>
                <w:color w:val="333333"/>
                <w:sz w:val="20"/>
              </w:rPr>
              <w:t>Radiology</w:t>
            </w:r>
          </w:p>
        </w:tc>
        <w:tc>
          <w:tcPr>
            <w:tcW w:type="dxa" w:w="6912"/>
            <w:shd w:val="clear" w:color="auto" w:fill="F7F9FB"/>
          </w:tcPr>
          <w:p>
            <w:pPr>
              <w:spacing w:after="40"/>
            </w:pPr>
            <w:r>
              <w:rPr>
                <w:color w:val="333333"/>
                <w:sz w:val="20"/>
              </w:rPr>
              <w:t>PACS / RIS, DICOM, AI triage (chest X-ray, CT brain), worklist, reporting.</w:t>
            </w:r>
          </w:p>
        </w:tc>
      </w:tr>
      <w:tr>
        <w:tc>
          <w:tcPr>
            <w:tcW w:type="dxa" w:w="2592"/>
          </w:tcPr>
          <w:p>
            <w:pPr>
              <w:spacing w:after="40"/>
            </w:pPr>
            <w:r>
              <w:rPr>
                <w:color w:val="333333"/>
                <w:sz w:val="20"/>
              </w:rPr>
              <w:t>Emergency / Trauma</w:t>
            </w:r>
          </w:p>
        </w:tc>
        <w:tc>
          <w:tcPr>
            <w:tcW w:type="dxa" w:w="6912"/>
          </w:tcPr>
          <w:p>
            <w:pPr>
              <w:spacing w:after="40"/>
            </w:pPr>
            <w:r>
              <w:rPr>
                <w:color w:val="333333"/>
                <w:sz w:val="20"/>
              </w:rPr>
              <w:t>Golden hour clock, triage (ESI), trauma team paging, FAST scan workflow.</w:t>
            </w:r>
          </w:p>
        </w:tc>
      </w:tr>
      <w:tr>
        <w:tc>
          <w:tcPr>
            <w:tcW w:type="dxa" w:w="2592"/>
            <w:shd w:val="clear" w:color="auto" w:fill="F7F9FB"/>
          </w:tcPr>
          <w:p>
            <w:pPr>
              <w:spacing w:after="40"/>
            </w:pPr>
            <w:r>
              <w:rPr>
                <w:color w:val="333333"/>
                <w:sz w:val="20"/>
              </w:rPr>
              <w:t>ICU / Critical Care</w:t>
            </w:r>
          </w:p>
        </w:tc>
        <w:tc>
          <w:tcPr>
            <w:tcW w:type="dxa" w:w="6912"/>
            <w:shd w:val="clear" w:color="auto" w:fill="F7F9FB"/>
          </w:tcPr>
          <w:p>
            <w:pPr>
              <w:spacing w:after="40"/>
            </w:pPr>
            <w:r>
              <w:rPr>
                <w:color w:val="333333"/>
                <w:sz w:val="20"/>
              </w:rPr>
              <w:t>Vitals + ventilator + infusion pump integration, scoring (APACHE II, SOFA, NEWS), care bundles.</w:t>
            </w:r>
          </w:p>
        </w:tc>
      </w:tr>
      <w:tr>
        <w:tc>
          <w:tcPr>
            <w:tcW w:type="dxa" w:w="2592"/>
          </w:tcPr>
          <w:p>
            <w:pPr>
              <w:spacing w:after="40"/>
            </w:pPr>
            <w:r>
              <w:rPr>
                <w:color w:val="333333"/>
                <w:sz w:val="20"/>
              </w:rPr>
              <w:t>Operation Theatre</w:t>
            </w:r>
          </w:p>
        </w:tc>
        <w:tc>
          <w:tcPr>
            <w:tcW w:type="dxa" w:w="6912"/>
          </w:tcPr>
          <w:p>
            <w:pPr>
              <w:spacing w:after="40"/>
            </w:pPr>
            <w:r>
              <w:rPr>
                <w:color w:val="333333"/>
                <w:sz w:val="20"/>
              </w:rPr>
              <w:t>Surgical scheduling, instrument set tracking, sponge/needle counts, time-out checklist.</w:t>
            </w:r>
          </w:p>
        </w:tc>
      </w:tr>
      <w:tr>
        <w:tc>
          <w:tcPr>
            <w:tcW w:type="dxa" w:w="2592"/>
            <w:shd w:val="clear" w:color="auto" w:fill="F7F9FB"/>
          </w:tcPr>
          <w:p>
            <w:pPr>
              <w:spacing w:after="40"/>
            </w:pPr>
            <w:r>
              <w:rPr>
                <w:color w:val="333333"/>
                <w:sz w:val="20"/>
              </w:rPr>
              <w:t>Dialysis</w:t>
            </w:r>
          </w:p>
        </w:tc>
        <w:tc>
          <w:tcPr>
            <w:tcW w:type="dxa" w:w="6912"/>
            <w:shd w:val="clear" w:color="auto" w:fill="F7F9FB"/>
          </w:tcPr>
          <w:p>
            <w:pPr>
              <w:spacing w:after="40"/>
            </w:pPr>
            <w:r>
              <w:rPr>
                <w:color w:val="333333"/>
                <w:sz w:val="20"/>
              </w:rPr>
              <w:t>Chair scheduling, machine assignment, dry weight tracking, EPO and IV iron protocols.</w:t>
            </w:r>
          </w:p>
        </w:tc>
      </w:tr>
      <w:tr>
        <w:tc>
          <w:tcPr>
            <w:tcW w:type="dxa" w:w="2592"/>
          </w:tcPr>
          <w:p>
            <w:pPr>
              <w:spacing w:after="40"/>
            </w:pPr>
            <w:r>
              <w:rPr>
                <w:color w:val="333333"/>
                <w:sz w:val="20"/>
              </w:rPr>
              <w:t>Maternity</w:t>
            </w:r>
          </w:p>
        </w:tc>
        <w:tc>
          <w:tcPr>
            <w:tcW w:type="dxa" w:w="6912"/>
          </w:tcPr>
          <w:p>
            <w:pPr>
              <w:spacing w:after="40"/>
            </w:pPr>
            <w:r>
              <w:rPr>
                <w:color w:val="333333"/>
                <w:sz w:val="20"/>
              </w:rPr>
              <w:t>Antenatal, labour board, fetal monitoring, partograph, NICU integration.</w:t>
            </w:r>
          </w:p>
        </w:tc>
      </w:tr>
      <w:tr>
        <w:tc>
          <w:tcPr>
            <w:tcW w:type="dxa" w:w="2592"/>
            <w:shd w:val="clear" w:color="auto" w:fill="F7F9FB"/>
          </w:tcPr>
          <w:p>
            <w:pPr>
              <w:spacing w:after="40"/>
            </w:pPr>
            <w:r>
              <w:rPr>
                <w:color w:val="333333"/>
                <w:sz w:val="20"/>
              </w:rPr>
              <w:t>Blood bank</w:t>
            </w:r>
          </w:p>
        </w:tc>
        <w:tc>
          <w:tcPr>
            <w:tcW w:type="dxa" w:w="6912"/>
            <w:shd w:val="clear" w:color="auto" w:fill="F7F9FB"/>
          </w:tcPr>
          <w:p>
            <w:pPr>
              <w:spacing w:after="40"/>
            </w:pPr>
            <w:r>
              <w:rPr>
                <w:color w:val="333333"/>
                <w:sz w:val="20"/>
              </w:rPr>
              <w:t>Donor registry, cross-match, issue/return, traceability, NABH BB norms.</w:t>
            </w:r>
          </w:p>
        </w:tc>
      </w:tr>
      <w:tr>
        <w:tc>
          <w:tcPr>
            <w:tcW w:type="dxa" w:w="2592"/>
          </w:tcPr>
          <w:p>
            <w:pPr>
              <w:spacing w:after="40"/>
            </w:pPr>
            <w:r>
              <w:rPr>
                <w:color w:val="333333"/>
                <w:sz w:val="20"/>
              </w:rPr>
              <w:t>Mortuary</w:t>
            </w:r>
          </w:p>
        </w:tc>
        <w:tc>
          <w:tcPr>
            <w:tcW w:type="dxa" w:w="6912"/>
          </w:tcPr>
          <w:p>
            <w:pPr>
              <w:spacing w:after="40"/>
            </w:pPr>
            <w:r>
              <w:rPr>
                <w:color w:val="333333"/>
                <w:sz w:val="20"/>
              </w:rPr>
              <w:t>Body in/out, locker assignment, religious rites, police case workflow.</w:t>
            </w:r>
          </w:p>
        </w:tc>
      </w:tr>
      <w:tr>
        <w:tc>
          <w:tcPr>
            <w:tcW w:type="dxa" w:w="2592"/>
            <w:shd w:val="clear" w:color="auto" w:fill="F7F9FB"/>
          </w:tcPr>
          <w:p>
            <w:pPr>
              <w:spacing w:after="40"/>
            </w:pPr>
            <w:r>
              <w:rPr>
                <w:color w:val="333333"/>
                <w:sz w:val="20"/>
              </w:rPr>
              <w:t>Visitor management</w:t>
            </w:r>
          </w:p>
        </w:tc>
        <w:tc>
          <w:tcPr>
            <w:tcW w:type="dxa" w:w="6912"/>
            <w:shd w:val="clear" w:color="auto" w:fill="F7F9FB"/>
          </w:tcPr>
          <w:p>
            <w:pPr>
              <w:spacing w:after="40"/>
            </w:pPr>
            <w:r>
              <w:rPr>
                <w:color w:val="333333"/>
                <w:sz w:val="20"/>
              </w:rPr>
              <w:t>Pass system, time tracking, restricted wards, biometric for high-security.</w:t>
            </w:r>
          </w:p>
        </w:tc>
      </w:tr>
    </w:tbl>
    <w:p>
      <w:pPr>
        <w:spacing w:after="40"/>
      </w:pPr>
    </w:p>
    <w:p>
      <w:pPr>
        <w:keepNext/>
        <w:spacing w:before="280" w:after="120"/>
      </w:pPr>
      <w:r>
        <w:rPr>
          <w:b/>
          <w:color w:val="0B2A4A"/>
          <w:sz w:val="32"/>
        </w:rPr>
        <w:t>15.3 Scale targets</w:t>
      </w:r>
    </w:p>
    <w:p>
      <w:pPr>
        <w:pStyle w:val="ListBullet"/>
        <w:spacing w:after="40"/>
        <w:ind w:left="360"/>
      </w:pPr>
      <w:r>
        <w:rPr>
          <w:color w:val="333333"/>
          <w:sz w:val="22"/>
        </w:rPr>
        <w:t>10,000+ OPD registrations per day per branch.</w:t>
      </w:r>
    </w:p>
    <w:p>
      <w:pPr>
        <w:pStyle w:val="ListBullet"/>
        <w:spacing w:after="40"/>
        <w:ind w:left="360"/>
      </w:pPr>
      <w:r>
        <w:rPr>
          <w:color w:val="333333"/>
          <w:sz w:val="22"/>
        </w:rPr>
        <w:t>1,000+ IPD beds per branch, 70+ branches in a chain.</w:t>
      </w:r>
    </w:p>
    <w:p>
      <w:pPr>
        <w:pStyle w:val="ListBullet"/>
        <w:spacing w:after="40"/>
        <w:ind w:left="360"/>
      </w:pPr>
      <w:r>
        <w:rPr>
          <w:color w:val="333333"/>
          <w:sz w:val="22"/>
        </w:rPr>
        <w:t>50,000+ concurrent users group-wide at peak.</w:t>
      </w:r>
    </w:p>
    <w:p>
      <w:pPr>
        <w:pStyle w:val="ListBullet"/>
        <w:spacing w:after="40"/>
        <w:ind w:left="360"/>
      </w:pPr>
      <w:r>
        <w:rPr>
          <w:color w:val="333333"/>
          <w:sz w:val="22"/>
        </w:rPr>
        <w:t>200+ analyzers, 50+ imaging modalities, 100+ ADCs per branch supported.</w:t>
      </w:r>
    </w:p>
    <w:p>
      <w:pPr>
        <w:pStyle w:val="ListBullet"/>
        <w:spacing w:after="40"/>
        <w:ind w:left="360"/>
      </w:pPr>
      <w:r>
        <w:rPr>
          <w:color w:val="333333"/>
          <w:sz w:val="22"/>
        </w:rPr>
        <w:t>99.95% uptime SLA, sub-200ms p95 API latency at the doctor screen.</w:t>
      </w:r>
    </w:p>
    <w:p>
      <w:r>
        <w:br w:type="page"/>
      </w:r>
    </w:p>
    <w:p>
      <w:pPr>
        <w:keepNext/>
        <w:spacing w:before="360" w:after="160"/>
        <w:pBdr>
          <w:bottom w:val="single" w:sz="12" w:space="4" w:color="008496"/>
        </w:pBdr>
      </w:pPr>
      <w:r>
        <w:rPr>
          <w:b/>
          <w:color w:val="0B2A4A"/>
          <w:sz w:val="44"/>
        </w:rPr>
        <w:t>16. Implementation Roadmap (0–24 months)</w:t>
      </w:r>
    </w:p>
    <w:p>
      <w:pPr>
        <w:spacing w:after="80" w:lineRule="auto" w:line="276"/>
      </w:pPr>
      <w:r>
        <w:rPr>
          <w:color w:val="333333"/>
          <w:sz w:val="22"/>
        </w:rPr>
        <w:t>A blueprint without sequencing is a wish list. Here is the recommended build order — every phase ships something a hospital can actually use, every phase compounds the moat.</w:t>
      </w:r>
    </w:p>
    <w:p>
      <w:pPr>
        <w:keepNext/>
        <w:spacing w:before="280" w:after="120"/>
      </w:pPr>
      <w:r>
        <w:rPr>
          <w:b/>
          <w:color w:val="0B2A4A"/>
          <w:sz w:val="32"/>
        </w:rPr>
        <w:t>Phase 0 — Foundation (0–3 months)</w:t>
      </w:r>
    </w:p>
    <w:p>
      <w:pPr>
        <w:pStyle w:val="ListBullet"/>
        <w:spacing w:after="40"/>
        <w:ind w:left="360"/>
      </w:pPr>
      <w:r>
        <w:rPr>
          <w:color w:val="333333"/>
          <w:sz w:val="22"/>
        </w:rPr>
        <w:t>Database design + multi-tenant + RBAC + audit log + immutable journal table.</w:t>
      </w:r>
    </w:p>
    <w:p>
      <w:pPr>
        <w:pStyle w:val="ListBullet"/>
        <w:spacing w:after="40"/>
        <w:ind w:left="360"/>
      </w:pPr>
      <w:r>
        <w:rPr>
          <w:color w:val="333333"/>
          <w:sz w:val="22"/>
        </w:rPr>
        <w:t>Patient Management with MPI + ABHA-ready stub.</w:t>
      </w:r>
    </w:p>
    <w:p>
      <w:pPr>
        <w:pStyle w:val="ListBullet"/>
        <w:spacing w:after="40"/>
        <w:ind w:left="360"/>
      </w:pPr>
      <w:r>
        <w:rPr>
          <w:color w:val="333333"/>
          <w:sz w:val="22"/>
        </w:rPr>
        <w:t>Auth, billing of single tariff, basic OPD flow.</w:t>
      </w:r>
    </w:p>
    <w:p>
      <w:pPr>
        <w:pStyle w:val="ListBullet"/>
        <w:spacing w:after="40"/>
        <w:ind w:left="360"/>
      </w:pPr>
      <w:r>
        <w:rPr>
          <w:color w:val="333333"/>
          <w:sz w:val="22"/>
        </w:rPr>
        <w:t>Core EMR (SOAP + e-prescription).</w:t>
      </w:r>
    </w:p>
    <w:p>
      <w:pPr>
        <w:pStyle w:val="ListBullet"/>
        <w:spacing w:after="40"/>
        <w:ind w:left="360"/>
      </w:pPr>
      <w:r>
        <w:rPr>
          <w:color w:val="333333"/>
          <w:sz w:val="22"/>
        </w:rPr>
        <w:t>CI/CD, observability, security baseline (OWASP top 10).</w:t>
      </w:r>
    </w:p>
    <w:p>
      <w:pPr>
        <w:keepNext/>
        <w:spacing w:before="280" w:after="120"/>
      </w:pPr>
      <w:r>
        <w:rPr>
          <w:b/>
          <w:color w:val="0B2A4A"/>
          <w:sz w:val="32"/>
        </w:rPr>
        <w:t>Phase 1 — Operations MVP (3–6 months)</w:t>
      </w:r>
    </w:p>
    <w:p>
      <w:pPr>
        <w:pStyle w:val="ListBullet"/>
        <w:spacing w:after="40"/>
        <w:ind w:left="360"/>
      </w:pPr>
      <w:r>
        <w:rPr>
          <w:color w:val="333333"/>
          <w:sz w:val="22"/>
        </w:rPr>
        <w:t>Full Appointment + OPD + IPD bed management.</w:t>
      </w:r>
    </w:p>
    <w:p>
      <w:pPr>
        <w:pStyle w:val="ListBullet"/>
        <w:spacing w:after="40"/>
        <w:ind w:left="360"/>
      </w:pPr>
      <w:r>
        <w:rPr>
          <w:color w:val="333333"/>
          <w:sz w:val="22"/>
        </w:rPr>
        <w:t>Lab module with one analyzer integration template.</w:t>
      </w:r>
    </w:p>
    <w:p>
      <w:pPr>
        <w:pStyle w:val="ListBullet"/>
        <w:spacing w:after="40"/>
        <w:ind w:left="360"/>
      </w:pPr>
      <w:r>
        <w:rPr>
          <w:color w:val="333333"/>
          <w:sz w:val="22"/>
        </w:rPr>
        <w:t>Pharmacy module with FIFO/FEFO + batch + e-prescription link.</w:t>
      </w:r>
    </w:p>
    <w:p>
      <w:pPr>
        <w:pStyle w:val="ListBullet"/>
        <w:spacing w:after="40"/>
        <w:ind w:left="360"/>
      </w:pPr>
      <w:r>
        <w:rPr>
          <w:color w:val="333333"/>
          <w:sz w:val="22"/>
        </w:rPr>
        <w:t>Billing engine v1 with multi-tariff + GST/TDS basics.</w:t>
      </w:r>
    </w:p>
    <w:p>
      <w:pPr>
        <w:pStyle w:val="ListBullet"/>
        <w:spacing w:after="40"/>
        <w:ind w:left="360"/>
      </w:pPr>
      <w:r>
        <w:rPr>
          <w:color w:val="333333"/>
          <w:sz w:val="22"/>
        </w:rPr>
        <w:t>Inventory module v1 with three-way matching.</w:t>
      </w:r>
    </w:p>
    <w:p>
      <w:pPr>
        <w:pStyle w:val="ListBullet"/>
        <w:spacing w:after="40"/>
        <w:ind w:left="360"/>
      </w:pPr>
      <w:r>
        <w:rPr>
          <w:color w:val="333333"/>
          <w:sz w:val="22"/>
        </w:rPr>
        <w:t>HR &amp; Payroll v1.</w:t>
      </w:r>
    </w:p>
    <w:p>
      <w:pPr>
        <w:keepNext/>
        <w:spacing w:before="280" w:after="120"/>
      </w:pPr>
      <w:r>
        <w:rPr>
          <w:b/>
          <w:color w:val="0B2A4A"/>
          <w:sz w:val="32"/>
        </w:rPr>
        <w:t>Phase 2 — Finance &amp; Tally (6–9 months)</w:t>
      </w:r>
    </w:p>
    <w:p>
      <w:pPr>
        <w:pStyle w:val="ListBullet"/>
        <w:spacing w:after="40"/>
        <w:ind w:left="360"/>
      </w:pPr>
      <w:r>
        <w:rPr>
          <w:color w:val="333333"/>
          <w:sz w:val="22"/>
        </w:rPr>
        <w:t>Real double-entry GL + CoA + AP + AR + cost centers.</w:t>
      </w:r>
    </w:p>
    <w:p>
      <w:pPr>
        <w:pStyle w:val="ListBullet"/>
        <w:spacing w:after="40"/>
        <w:ind w:left="360"/>
      </w:pPr>
      <w:r>
        <w:rPr>
          <w:color w:val="333333"/>
          <w:sz w:val="22"/>
        </w:rPr>
        <w:t>Day-end / month-end automation.</w:t>
      </w:r>
    </w:p>
    <w:p>
      <w:pPr>
        <w:pStyle w:val="ListBullet"/>
        <w:spacing w:after="40"/>
        <w:ind w:left="360"/>
      </w:pPr>
      <w:r>
        <w:rPr>
          <w:color w:val="333333"/>
          <w:sz w:val="22"/>
        </w:rPr>
        <w:t>Tally Prime connector — XML/JSON gateway, TDL, idempotent push, sync ledger.</w:t>
      </w:r>
    </w:p>
    <w:p>
      <w:pPr>
        <w:pStyle w:val="ListBullet"/>
        <w:spacing w:after="40"/>
        <w:ind w:left="360"/>
      </w:pPr>
      <w:r>
        <w:rPr>
          <w:color w:val="333333"/>
          <w:sz w:val="22"/>
        </w:rPr>
        <w:t>Hospital KPIs dashboard for the CFO.</w:t>
      </w:r>
    </w:p>
    <w:p>
      <w:pPr>
        <w:pStyle w:val="ListBullet"/>
        <w:spacing w:after="40"/>
        <w:ind w:left="360"/>
      </w:pPr>
      <w:r>
        <w:rPr>
          <w:color w:val="333333"/>
          <w:sz w:val="22"/>
        </w:rPr>
        <w:t>Doctor incentive engine.</w:t>
      </w:r>
    </w:p>
    <w:p>
      <w:pPr>
        <w:pStyle w:val="ListBullet"/>
        <w:spacing w:after="40"/>
        <w:ind w:left="360"/>
      </w:pPr>
      <w:r>
        <w:rPr>
          <w:color w:val="333333"/>
          <w:sz w:val="22"/>
        </w:rPr>
        <w:t>RCM v1 — pre-auth, claim, denial, payment.</w:t>
      </w:r>
    </w:p>
    <w:p>
      <w:pPr>
        <w:keepNext/>
        <w:spacing w:before="280" w:after="120"/>
      </w:pPr>
      <w:r>
        <w:rPr>
          <w:b/>
          <w:color w:val="0B2A4A"/>
          <w:sz w:val="32"/>
        </w:rPr>
        <w:t>Phase 3 — AI &amp; Differentiators (9–12 months)</w:t>
      </w:r>
    </w:p>
    <w:p>
      <w:pPr>
        <w:pStyle w:val="ListBullet"/>
        <w:spacing w:after="40"/>
        <w:ind w:left="360"/>
      </w:pPr>
      <w:r>
        <w:rPr>
          <w:color w:val="333333"/>
          <w:sz w:val="22"/>
        </w:rPr>
        <w:t>AI scribing for OPD + ward rounds.</w:t>
      </w:r>
    </w:p>
    <w:p>
      <w:pPr>
        <w:pStyle w:val="ListBullet"/>
        <w:spacing w:after="40"/>
        <w:ind w:left="360"/>
      </w:pPr>
      <w:r>
        <w:rPr>
          <w:color w:val="333333"/>
          <w:sz w:val="22"/>
        </w:rPr>
        <w:t>AI ICD-10 / SNOMED coding from notes.</w:t>
      </w:r>
    </w:p>
    <w:p>
      <w:pPr>
        <w:pStyle w:val="ListBullet"/>
        <w:spacing w:after="40"/>
        <w:ind w:left="360"/>
      </w:pPr>
      <w:r>
        <w:rPr>
          <w:color w:val="333333"/>
          <w:sz w:val="22"/>
        </w:rPr>
        <w:t>AI no-show prediction.</w:t>
      </w:r>
    </w:p>
    <w:p>
      <w:pPr>
        <w:pStyle w:val="ListBullet"/>
        <w:spacing w:after="40"/>
        <w:ind w:left="360"/>
      </w:pPr>
      <w:r>
        <w:rPr>
          <w:color w:val="333333"/>
          <w:sz w:val="22"/>
        </w:rPr>
        <w:t>Predictive bed management.</w:t>
      </w:r>
    </w:p>
    <w:p>
      <w:pPr>
        <w:pStyle w:val="ListBullet"/>
        <w:spacing w:after="40"/>
        <w:ind w:left="360"/>
      </w:pPr>
      <w:r>
        <w:rPr>
          <w:color w:val="333333"/>
          <w:sz w:val="22"/>
        </w:rPr>
        <w:t>Critical lab value AI escalation.</w:t>
      </w:r>
    </w:p>
    <w:p>
      <w:pPr>
        <w:pStyle w:val="ListBullet"/>
        <w:spacing w:after="40"/>
        <w:ind w:left="360"/>
      </w:pPr>
      <w:r>
        <w:rPr>
          <w:color w:val="333333"/>
          <w:sz w:val="22"/>
        </w:rPr>
        <w:t>Sepsis / NEWS / deterioration early warning.</w:t>
      </w:r>
    </w:p>
    <w:p>
      <w:pPr>
        <w:pStyle w:val="ListBullet"/>
        <w:spacing w:after="40"/>
        <w:ind w:left="360"/>
      </w:pPr>
      <w:r>
        <w:rPr>
          <w:color w:val="333333"/>
          <w:sz w:val="22"/>
        </w:rPr>
        <w:t>Patient mobile app v1 (book, pay, reports, telehealth).</w:t>
      </w:r>
    </w:p>
    <w:p>
      <w:pPr>
        <w:keepNext/>
        <w:spacing w:before="280" w:after="120"/>
      </w:pPr>
      <w:r>
        <w:rPr>
          <w:b/>
          <w:color w:val="0B2A4A"/>
          <w:sz w:val="32"/>
        </w:rPr>
        <w:t>Phase 4 — Big Hospital Sub-modules (12–18 months)</w:t>
      </w:r>
    </w:p>
    <w:p>
      <w:pPr>
        <w:pStyle w:val="ListBullet"/>
        <w:spacing w:after="40"/>
        <w:ind w:left="360"/>
      </w:pPr>
      <w:r>
        <w:rPr>
          <w:color w:val="333333"/>
          <w:sz w:val="22"/>
        </w:rPr>
        <w:t>OT scheduling + implant tracking + sponge/needle counts.</w:t>
      </w:r>
    </w:p>
    <w:p>
      <w:pPr>
        <w:pStyle w:val="ListBullet"/>
        <w:spacing w:after="40"/>
        <w:ind w:left="360"/>
      </w:pPr>
      <w:r>
        <w:rPr>
          <w:color w:val="333333"/>
          <w:sz w:val="22"/>
        </w:rPr>
        <w:t>ICU + monitor + ventilator integration.</w:t>
      </w:r>
    </w:p>
    <w:p>
      <w:pPr>
        <w:pStyle w:val="ListBullet"/>
        <w:spacing w:after="40"/>
        <w:ind w:left="360"/>
      </w:pPr>
      <w:r>
        <w:rPr>
          <w:color w:val="333333"/>
          <w:sz w:val="22"/>
        </w:rPr>
        <w:t>Cath lab, oncology NCCN, dialysis, maternity.</w:t>
      </w:r>
    </w:p>
    <w:p>
      <w:pPr>
        <w:pStyle w:val="ListBullet"/>
        <w:spacing w:after="40"/>
        <w:ind w:left="360"/>
      </w:pPr>
      <w:r>
        <w:rPr>
          <w:color w:val="333333"/>
          <w:sz w:val="22"/>
        </w:rPr>
        <w:t>Blood bank, mortuary, visitor management.</w:t>
      </w:r>
    </w:p>
    <w:p>
      <w:pPr>
        <w:pStyle w:val="ListBullet"/>
        <w:spacing w:after="40"/>
        <w:ind w:left="360"/>
      </w:pPr>
      <w:r>
        <w:rPr>
          <w:color w:val="333333"/>
          <w:sz w:val="22"/>
        </w:rPr>
        <w:t>PACS/RIS interface (DICOM-WL, DICOM-MWL, DICOM-MPPS).</w:t>
      </w:r>
    </w:p>
    <w:p>
      <w:pPr>
        <w:pStyle w:val="ListBullet"/>
        <w:spacing w:after="40"/>
        <w:ind w:left="360"/>
      </w:pPr>
      <w:r>
        <w:rPr>
          <w:color w:val="333333"/>
          <w:sz w:val="22"/>
        </w:rPr>
        <w:t>CMMS for biomedical equipment.</w:t>
      </w:r>
    </w:p>
    <w:p>
      <w:pPr>
        <w:keepNext/>
        <w:spacing w:before="280" w:after="120"/>
      </w:pPr>
      <w:r>
        <w:rPr>
          <w:b/>
          <w:color w:val="0B2A4A"/>
          <w:sz w:val="32"/>
        </w:rPr>
        <w:t>Phase 5 — Multi-branch &amp; Scale (18–24 months)</w:t>
      </w:r>
    </w:p>
    <w:p>
      <w:pPr>
        <w:pStyle w:val="ListBullet"/>
        <w:spacing w:after="40"/>
        <w:ind w:left="360"/>
      </w:pPr>
      <w:r>
        <w:rPr>
          <w:color w:val="333333"/>
          <w:sz w:val="22"/>
        </w:rPr>
        <w:t>Multi-branch consolidation, group P&amp;L, IND-AS / IFRS.</w:t>
      </w:r>
    </w:p>
    <w:p>
      <w:pPr>
        <w:pStyle w:val="ListBullet"/>
        <w:spacing w:after="40"/>
        <w:ind w:left="360"/>
      </w:pPr>
      <w:r>
        <w:rPr>
          <w:color w:val="333333"/>
          <w:sz w:val="22"/>
        </w:rPr>
        <w:t>Multi-currency for international patients.</w:t>
      </w:r>
    </w:p>
    <w:p>
      <w:pPr>
        <w:pStyle w:val="ListBullet"/>
        <w:spacing w:after="40"/>
        <w:ind w:left="360"/>
      </w:pPr>
      <w:r>
        <w:rPr>
          <w:color w:val="333333"/>
          <w:sz w:val="22"/>
        </w:rPr>
        <w:t>Inter-branch transfer accounting.</w:t>
      </w:r>
    </w:p>
    <w:p>
      <w:pPr>
        <w:pStyle w:val="ListBullet"/>
        <w:spacing w:after="40"/>
        <w:ind w:left="360"/>
      </w:pPr>
      <w:r>
        <w:rPr>
          <w:color w:val="333333"/>
          <w:sz w:val="22"/>
        </w:rPr>
        <w:t>Group analytics &amp; benchmarking dashboards.</w:t>
      </w:r>
    </w:p>
    <w:p>
      <w:pPr>
        <w:pStyle w:val="ListBullet"/>
        <w:spacing w:after="40"/>
        <w:ind w:left="360"/>
      </w:pPr>
      <w:r>
        <w:rPr>
          <w:color w:val="333333"/>
          <w:sz w:val="22"/>
        </w:rPr>
        <w:t>Disaster recovery — three landing zones.</w:t>
      </w:r>
    </w:p>
    <w:p>
      <w:pPr>
        <w:pStyle w:val="ListBullet"/>
        <w:spacing w:after="40"/>
        <w:ind w:left="360"/>
      </w:pPr>
      <w:r>
        <w:rPr>
          <w:color w:val="333333"/>
          <w:sz w:val="22"/>
        </w:rPr>
        <w:t>NABH accreditation pack — 651 objectives mapped.</w:t>
      </w:r>
    </w:p>
    <w:p>
      <w:r>
        <w:br w:type="page"/>
      </w:r>
    </w:p>
    <w:p>
      <w:pPr>
        <w:keepNext/>
        <w:spacing w:before="360" w:after="160"/>
        <w:pBdr>
          <w:bottom w:val="single" w:sz="12" w:space="4" w:color="008496"/>
        </w:pBdr>
      </w:pPr>
      <w:r>
        <w:rPr>
          <w:b/>
          <w:color w:val="0B2A4A"/>
          <w:sz w:val="44"/>
        </w:rPr>
        <w:t>17. Build Order &amp; Team Structure</w:t>
      </w:r>
    </w:p>
    <w:p>
      <w:pPr>
        <w:spacing w:after="80" w:lineRule="auto" w:line="276"/>
      </w:pPr>
      <w:r>
        <w:rPr>
          <w:color w:val="333333"/>
          <w:sz w:val="22"/>
        </w:rPr>
        <w:t>Building HospitalOS at this ambition level requires a focused, multi-disciplinary team. Here is the recommended structure to ship Phase 0–3 in 12 months.</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3456"/>
            <w:shd w:val="clear" w:color="auto" w:fill="0B2A4A"/>
          </w:tcPr>
          <w:p>
            <w:pPr>
              <w:spacing w:after="40"/>
            </w:pPr>
            <w:r>
              <w:rPr>
                <w:b/>
                <w:color w:val="FFFFFF"/>
                <w:sz w:val="21"/>
              </w:rPr>
              <w:t>Role</w:t>
            </w:r>
          </w:p>
        </w:tc>
        <w:tc>
          <w:tcPr>
            <w:tcW w:type="dxa" w:w="6048"/>
            <w:shd w:val="clear" w:color="auto" w:fill="0B2A4A"/>
          </w:tcPr>
          <w:p>
            <w:pPr>
              <w:spacing w:after="40"/>
            </w:pPr>
            <w:r>
              <w:rPr>
                <w:b/>
                <w:color w:val="FFFFFF"/>
                <w:sz w:val="21"/>
              </w:rPr>
              <w:t>Headcount &amp; focus</w:t>
            </w:r>
          </w:p>
        </w:tc>
      </w:tr>
      <w:tr>
        <w:tc>
          <w:tcPr>
            <w:tcW w:type="dxa" w:w="3456"/>
          </w:tcPr>
          <w:p>
            <w:pPr>
              <w:spacing w:after="40"/>
            </w:pPr>
            <w:r>
              <w:rPr>
                <w:color w:val="333333"/>
                <w:sz w:val="20"/>
              </w:rPr>
              <w:t>Tech Lead (Web + Agentic AI)</w:t>
            </w:r>
          </w:p>
        </w:tc>
        <w:tc>
          <w:tcPr>
            <w:tcW w:type="dxa" w:w="6048"/>
          </w:tcPr>
          <w:p>
            <w:pPr>
              <w:spacing w:after="40"/>
            </w:pPr>
            <w:r>
              <w:rPr>
                <w:color w:val="333333"/>
                <w:sz w:val="20"/>
              </w:rPr>
              <w:t>1 (you) — architecture, code review, AI agent strategy.</w:t>
            </w:r>
          </w:p>
        </w:tc>
      </w:tr>
      <w:tr>
        <w:tc>
          <w:tcPr>
            <w:tcW w:type="dxa" w:w="3456"/>
            <w:shd w:val="clear" w:color="auto" w:fill="F7F9FB"/>
          </w:tcPr>
          <w:p>
            <w:pPr>
              <w:spacing w:after="40"/>
            </w:pPr>
            <w:r>
              <w:rPr>
                <w:color w:val="333333"/>
                <w:sz w:val="20"/>
              </w:rPr>
              <w:t>Backend Engineers</w:t>
            </w:r>
          </w:p>
        </w:tc>
        <w:tc>
          <w:tcPr>
            <w:tcW w:type="dxa" w:w="6048"/>
            <w:shd w:val="clear" w:color="auto" w:fill="F7F9FB"/>
          </w:tcPr>
          <w:p>
            <w:pPr>
              <w:spacing w:after="40"/>
            </w:pPr>
            <w:r>
              <w:rPr>
                <w:color w:val="333333"/>
                <w:sz w:val="20"/>
              </w:rPr>
              <w:t>4–6 — Node.js / TypeScript, Postgres, Prisma, NATS/Kafka.</w:t>
            </w:r>
          </w:p>
        </w:tc>
      </w:tr>
      <w:tr>
        <w:tc>
          <w:tcPr>
            <w:tcW w:type="dxa" w:w="3456"/>
          </w:tcPr>
          <w:p>
            <w:pPr>
              <w:spacing w:after="40"/>
            </w:pPr>
            <w:r>
              <w:rPr>
                <w:color w:val="333333"/>
                <w:sz w:val="20"/>
              </w:rPr>
              <w:t>Frontend Engineers</w:t>
            </w:r>
          </w:p>
        </w:tc>
        <w:tc>
          <w:tcPr>
            <w:tcW w:type="dxa" w:w="6048"/>
          </w:tcPr>
          <w:p>
            <w:pPr>
              <w:spacing w:after="40"/>
            </w:pPr>
            <w:r>
              <w:rPr>
                <w:color w:val="333333"/>
                <w:sz w:val="20"/>
              </w:rPr>
              <w:t>3–4 — Next.js, React 19, Tailwind, mobile-first.</w:t>
            </w:r>
          </w:p>
        </w:tc>
      </w:tr>
      <w:tr>
        <w:tc>
          <w:tcPr>
            <w:tcW w:type="dxa" w:w="3456"/>
            <w:shd w:val="clear" w:color="auto" w:fill="F7F9FB"/>
          </w:tcPr>
          <w:p>
            <w:pPr>
              <w:spacing w:after="40"/>
            </w:pPr>
            <w:r>
              <w:rPr>
                <w:color w:val="333333"/>
                <w:sz w:val="20"/>
              </w:rPr>
              <w:t>Mobile Engineers</w:t>
            </w:r>
          </w:p>
        </w:tc>
        <w:tc>
          <w:tcPr>
            <w:tcW w:type="dxa" w:w="6048"/>
            <w:shd w:val="clear" w:color="auto" w:fill="F7F9FB"/>
          </w:tcPr>
          <w:p>
            <w:pPr>
              <w:spacing w:after="40"/>
            </w:pPr>
            <w:r>
              <w:rPr>
                <w:color w:val="333333"/>
                <w:sz w:val="20"/>
              </w:rPr>
              <w:t>2 — React Native (patient app + nursing app).</w:t>
            </w:r>
          </w:p>
        </w:tc>
      </w:tr>
      <w:tr>
        <w:tc>
          <w:tcPr>
            <w:tcW w:type="dxa" w:w="3456"/>
          </w:tcPr>
          <w:p>
            <w:pPr>
              <w:spacing w:after="40"/>
            </w:pPr>
            <w:r>
              <w:rPr>
                <w:color w:val="333333"/>
                <w:sz w:val="20"/>
              </w:rPr>
              <w:t>Data + AI Engineers</w:t>
            </w:r>
          </w:p>
        </w:tc>
        <w:tc>
          <w:tcPr>
            <w:tcW w:type="dxa" w:w="6048"/>
          </w:tcPr>
          <w:p>
            <w:pPr>
              <w:spacing w:after="40"/>
            </w:pPr>
            <w:r>
              <w:rPr>
                <w:color w:val="333333"/>
                <w:sz w:val="20"/>
              </w:rPr>
              <w:t>2 — LLM integration, scribing, coding, prediction models.</w:t>
            </w:r>
          </w:p>
        </w:tc>
      </w:tr>
      <w:tr>
        <w:tc>
          <w:tcPr>
            <w:tcW w:type="dxa" w:w="3456"/>
            <w:shd w:val="clear" w:color="auto" w:fill="F7F9FB"/>
          </w:tcPr>
          <w:p>
            <w:pPr>
              <w:spacing w:after="40"/>
            </w:pPr>
            <w:r>
              <w:rPr>
                <w:color w:val="333333"/>
                <w:sz w:val="20"/>
              </w:rPr>
              <w:t>DevOps / SRE</w:t>
            </w:r>
          </w:p>
        </w:tc>
        <w:tc>
          <w:tcPr>
            <w:tcW w:type="dxa" w:w="6048"/>
            <w:shd w:val="clear" w:color="auto" w:fill="F7F9FB"/>
          </w:tcPr>
          <w:p>
            <w:pPr>
              <w:spacing w:after="40"/>
            </w:pPr>
            <w:r>
              <w:rPr>
                <w:color w:val="333333"/>
                <w:sz w:val="20"/>
              </w:rPr>
              <w:t>1–2 — AWS/Azure, Kubernetes, observability, security.</w:t>
            </w:r>
          </w:p>
        </w:tc>
      </w:tr>
      <w:tr>
        <w:tc>
          <w:tcPr>
            <w:tcW w:type="dxa" w:w="3456"/>
          </w:tcPr>
          <w:p>
            <w:pPr>
              <w:spacing w:after="40"/>
            </w:pPr>
            <w:r>
              <w:rPr>
                <w:color w:val="333333"/>
                <w:sz w:val="20"/>
              </w:rPr>
              <w:t>QA / Test Automation</w:t>
            </w:r>
          </w:p>
        </w:tc>
        <w:tc>
          <w:tcPr>
            <w:tcW w:type="dxa" w:w="6048"/>
          </w:tcPr>
          <w:p>
            <w:pPr>
              <w:spacing w:after="40"/>
            </w:pPr>
            <w:r>
              <w:rPr>
                <w:color w:val="333333"/>
                <w:sz w:val="20"/>
              </w:rPr>
              <w:t>2 — Playwright, k6, security testing.</w:t>
            </w:r>
          </w:p>
        </w:tc>
      </w:tr>
      <w:tr>
        <w:tc>
          <w:tcPr>
            <w:tcW w:type="dxa" w:w="3456"/>
            <w:shd w:val="clear" w:color="auto" w:fill="F7F9FB"/>
          </w:tcPr>
          <w:p>
            <w:pPr>
              <w:spacing w:after="40"/>
            </w:pPr>
            <w:r>
              <w:rPr>
                <w:color w:val="333333"/>
                <w:sz w:val="20"/>
              </w:rPr>
              <w:t>Healthcare Domain Expert</w:t>
            </w:r>
          </w:p>
        </w:tc>
        <w:tc>
          <w:tcPr>
            <w:tcW w:type="dxa" w:w="6048"/>
            <w:shd w:val="clear" w:color="auto" w:fill="F7F9FB"/>
          </w:tcPr>
          <w:p>
            <w:pPr>
              <w:spacing w:after="40"/>
            </w:pPr>
            <w:r>
              <w:rPr>
                <w:color w:val="333333"/>
                <w:sz w:val="20"/>
              </w:rPr>
              <w:t>1 — ex-hospital CIO / IT head, full-time.</w:t>
            </w:r>
          </w:p>
        </w:tc>
      </w:tr>
      <w:tr>
        <w:tc>
          <w:tcPr>
            <w:tcW w:type="dxa" w:w="3456"/>
          </w:tcPr>
          <w:p>
            <w:pPr>
              <w:spacing w:after="40"/>
            </w:pPr>
            <w:r>
              <w:rPr>
                <w:color w:val="333333"/>
                <w:sz w:val="20"/>
              </w:rPr>
              <w:t>Clinical Advisor (doctor)</w:t>
            </w:r>
          </w:p>
        </w:tc>
        <w:tc>
          <w:tcPr>
            <w:tcW w:type="dxa" w:w="6048"/>
          </w:tcPr>
          <w:p>
            <w:pPr>
              <w:spacing w:after="40"/>
            </w:pPr>
            <w:r>
              <w:rPr>
                <w:color w:val="333333"/>
                <w:sz w:val="20"/>
              </w:rPr>
              <w:t>1 — part-time, EMR usability + workflows.</w:t>
            </w:r>
          </w:p>
        </w:tc>
      </w:tr>
      <w:tr>
        <w:tc>
          <w:tcPr>
            <w:tcW w:type="dxa" w:w="3456"/>
            <w:shd w:val="clear" w:color="auto" w:fill="F7F9FB"/>
          </w:tcPr>
          <w:p>
            <w:pPr>
              <w:spacing w:after="40"/>
            </w:pPr>
            <w:r>
              <w:rPr>
                <w:color w:val="333333"/>
                <w:sz w:val="20"/>
              </w:rPr>
              <w:t>Finance Domain Expert</w:t>
            </w:r>
          </w:p>
        </w:tc>
        <w:tc>
          <w:tcPr>
            <w:tcW w:type="dxa" w:w="6048"/>
            <w:shd w:val="clear" w:color="auto" w:fill="F7F9FB"/>
          </w:tcPr>
          <w:p>
            <w:pPr>
              <w:spacing w:after="40"/>
            </w:pPr>
            <w:r>
              <w:rPr>
                <w:color w:val="333333"/>
                <w:sz w:val="20"/>
              </w:rPr>
              <w:t>1 — CA, hospital accounting + Tally integration.</w:t>
            </w:r>
          </w:p>
        </w:tc>
      </w:tr>
      <w:tr>
        <w:tc>
          <w:tcPr>
            <w:tcW w:type="dxa" w:w="3456"/>
          </w:tcPr>
          <w:p>
            <w:pPr>
              <w:spacing w:after="40"/>
            </w:pPr>
            <w:r>
              <w:rPr>
                <w:color w:val="333333"/>
                <w:sz w:val="20"/>
              </w:rPr>
              <w:t>Compliance / Security</w:t>
            </w:r>
          </w:p>
        </w:tc>
        <w:tc>
          <w:tcPr>
            <w:tcW w:type="dxa" w:w="6048"/>
          </w:tcPr>
          <w:p>
            <w:pPr>
              <w:spacing w:after="40"/>
            </w:pPr>
            <w:r>
              <w:rPr>
                <w:color w:val="333333"/>
                <w:sz w:val="20"/>
              </w:rPr>
              <w:t>1 — ABDM, NABH, HIPAA, DPDP.</w:t>
            </w:r>
          </w:p>
        </w:tc>
      </w:tr>
      <w:tr>
        <w:tc>
          <w:tcPr>
            <w:tcW w:type="dxa" w:w="3456"/>
            <w:shd w:val="clear" w:color="auto" w:fill="F7F9FB"/>
          </w:tcPr>
          <w:p>
            <w:pPr>
              <w:spacing w:after="40"/>
            </w:pPr>
            <w:r>
              <w:rPr>
                <w:color w:val="333333"/>
                <w:sz w:val="20"/>
              </w:rPr>
              <w:t>Product Manager</w:t>
            </w:r>
          </w:p>
        </w:tc>
        <w:tc>
          <w:tcPr>
            <w:tcW w:type="dxa" w:w="6048"/>
            <w:shd w:val="clear" w:color="auto" w:fill="F7F9FB"/>
          </w:tcPr>
          <w:p>
            <w:pPr>
              <w:spacing w:after="40"/>
            </w:pPr>
            <w:r>
              <w:rPr>
                <w:color w:val="333333"/>
                <w:sz w:val="20"/>
              </w:rPr>
              <w:t>1–2 — module owners.</w:t>
            </w:r>
          </w:p>
        </w:tc>
      </w:tr>
      <w:tr>
        <w:tc>
          <w:tcPr>
            <w:tcW w:type="dxa" w:w="3456"/>
          </w:tcPr>
          <w:p>
            <w:pPr>
              <w:spacing w:after="40"/>
            </w:pPr>
            <w:r>
              <w:rPr>
                <w:color w:val="333333"/>
                <w:sz w:val="20"/>
              </w:rPr>
              <w:t>Implementation / CSM</w:t>
            </w:r>
          </w:p>
        </w:tc>
        <w:tc>
          <w:tcPr>
            <w:tcW w:type="dxa" w:w="6048"/>
          </w:tcPr>
          <w:p>
            <w:pPr>
              <w:spacing w:after="40"/>
            </w:pPr>
            <w:r>
              <w:rPr>
                <w:color w:val="333333"/>
                <w:sz w:val="20"/>
              </w:rPr>
              <w:t>2 — for early customers.</w:t>
            </w:r>
          </w:p>
        </w:tc>
      </w:tr>
    </w:tbl>
    <w:p>
      <w:pPr>
        <w:spacing w:after="40"/>
      </w:pPr>
    </w:p>
    <w:tbl>
      <w:tblPr>
        <w:tblW w:type="auto" w:w="0"/>
        <w:jc w:val="left"/>
        <w:tblLayout w:type="fixed"/>
        <w:tblLook w:firstColumn="1" w:firstRow="1" w:lastColumn="0" w:lastRow="0" w:noHBand="0" w:noVBand="1" w:val="04A0"/>
      </w:tblPr>
      <w:tblGrid>
        <w:gridCol w:w="9648"/>
      </w:tblGrid>
      <w:tr>
        <w:tc>
          <w:tcPr>
            <w:tcW w:type="dxa" w:w="9504"/>
            <w:shd w:val="clear" w:color="auto" w:fill="FFF1E5"/>
            <w:tcBorders>
              <w:top w:val="single" w:sz="8" w:space="0" w:color="E86A1F"/>
              <w:left w:val="single" w:sz="24" w:space="0" w:color="E86A1F"/>
              <w:bottom w:val="single" w:sz="8" w:space="0" w:color="E86A1F"/>
              <w:right w:val="single" w:sz="8" w:space="0" w:color="E86A1F"/>
            </w:tcBorders>
          </w:tcPr>
          <w:p>
            <w:pPr>
              <w:spacing w:after="40"/>
            </w:pPr>
            <w:r>
              <w:rPr>
                <w:b/>
                <w:color w:val="0B2A4A"/>
                <w:sz w:val="22"/>
              </w:rPr>
              <w:t>Discipline #1 — domain experts on the team</w:t>
            </w:r>
          </w:p>
          <w:p>
            <w:pPr>
              <w:spacing w:after="40"/>
            </w:pPr>
            <w:r>
              <w:rPr>
                <w:color w:val="333333"/>
                <w:sz w:val="20"/>
              </w:rPr>
              <w:t>The most common reason Indian HMS products fail is that they are built by engineers who have never sat in a hospital. Hire the doctor, the CA, and the ex-hospital CIO before hiring the tenth backend engineer.</w:t>
            </w:r>
          </w:p>
        </w:tc>
      </w:tr>
    </w:tbl>
    <w:p>
      <w:pPr>
        <w:spacing w:after="40"/>
      </w:pPr>
    </w:p>
    <w:p>
      <w:r>
        <w:br w:type="page"/>
      </w:r>
    </w:p>
    <w:p>
      <w:pPr>
        <w:keepNext/>
        <w:spacing w:before="360" w:after="160"/>
        <w:pBdr>
          <w:bottom w:val="single" w:sz="12" w:space="4" w:color="008496"/>
        </w:pBdr>
      </w:pPr>
      <w:r>
        <w:rPr>
          <w:b/>
          <w:color w:val="0B2A4A"/>
          <w:sz w:val="44"/>
        </w:rPr>
        <w:t>18. Closing — How HospitalOS Wins</w:t>
      </w:r>
    </w:p>
    <w:p>
      <w:pPr>
        <w:spacing w:after="80" w:lineRule="auto" w:line="276"/>
      </w:pPr>
      <w:r>
        <w:rPr>
          <w:color w:val="333333"/>
          <w:sz w:val="22"/>
        </w:rPr>
        <w:t>There are 70,000 hospitals in India. Most run on software they hate. The biggest chains in the country still reconcile their books manually every month. The doctors in those hospitals still type into clunky 2010-era forms. The CFOs still wait six weeks for their P&amp;L. The patients still get surprise bills at discharge.</w:t>
      </w:r>
    </w:p>
    <w:p>
      <w:pPr>
        <w:spacing w:after="80" w:lineRule="auto" w:line="276"/>
      </w:pPr>
      <w:r>
        <w:rPr>
          <w:color w:val="333333"/>
          <w:sz w:val="22"/>
        </w:rPr>
        <w:t>HospitalOS doesn't have to be perfect. It has to be radically better than the status quo on three vectors that no one else combines:</w:t>
      </w:r>
    </w:p>
    <w:p>
      <w:pPr>
        <w:pStyle w:val="ListBullet"/>
        <w:spacing w:after="40"/>
        <w:ind w:left="360"/>
      </w:pPr>
      <w:r>
        <w:rPr>
          <w:color w:val="333333"/>
          <w:sz w:val="22"/>
        </w:rPr>
        <w:t>Doctors love it — because of AI scribing, sub-3-click flows, and a mobile EMR that actually works on rounds.</w:t>
      </w:r>
    </w:p>
    <w:p>
      <w:pPr>
        <w:pStyle w:val="ListBullet"/>
        <w:spacing w:after="40"/>
        <w:ind w:left="360"/>
      </w:pPr>
      <w:r>
        <w:rPr>
          <w:color w:val="333333"/>
          <w:sz w:val="22"/>
        </w:rPr>
        <w:t>CFOs trust it — because it is a real accounting system with native Tally sync, real-time KPIs, and a 3-day month-end close.</w:t>
      </w:r>
    </w:p>
    <w:p>
      <w:pPr>
        <w:pStyle w:val="ListBullet"/>
        <w:spacing w:after="40"/>
        <w:ind w:left="360"/>
      </w:pPr>
      <w:r>
        <w:rPr>
          <w:color w:val="333333"/>
          <w:sz w:val="22"/>
        </w:rPr>
        <w:t>CIOs deploy it — because it is ABDM-native, FHIR-native, multi-branch, and built for 10,000 OPD/day from day one.</w:t>
      </w:r>
    </w:p>
    <w:tbl>
      <w:tblPr>
        <w:tblW w:type="auto" w:w="0"/>
        <w:jc w:val="left"/>
        <w:tblLayout w:type="fixed"/>
        <w:tblLook w:firstColumn="1" w:firstRow="1" w:lastColumn="0" w:lastRow="0" w:noHBand="0" w:noVBand="1" w:val="04A0"/>
      </w:tblPr>
      <w:tblGrid>
        <w:gridCol w:w="9648"/>
      </w:tblGrid>
      <w:tr>
        <w:tc>
          <w:tcPr>
            <w:tcW w:type="dxa" w:w="9504"/>
            <w:shd w:val="clear" w:color="auto" w:fill="E0F2F4"/>
            <w:tcBorders>
              <w:top w:val="single" w:sz="8" w:space="0" w:color="008496"/>
              <w:left w:val="single" w:sz="24" w:space="0" w:color="008496"/>
              <w:bottom w:val="single" w:sz="8" w:space="0" w:color="008496"/>
              <w:right w:val="single" w:sz="8" w:space="0" w:color="008496"/>
            </w:tcBorders>
          </w:tcPr>
          <w:p>
            <w:pPr>
              <w:spacing w:after="40"/>
            </w:pPr>
            <w:r>
              <w:rPr>
                <w:b/>
                <w:color w:val="0B2A4A"/>
                <w:sz w:val="22"/>
              </w:rPr>
              <w:t>The build mantra</w:t>
            </w:r>
          </w:p>
          <w:p>
            <w:pPr>
              <w:spacing w:after="40"/>
            </w:pPr>
            <w:r>
              <w:rPr>
                <w:color w:val="333333"/>
                <w:sz w:val="20"/>
              </w:rPr>
              <w:t>Win the doctor first. Win the CFO second. Win the CIO third. Every feature, every sprint, every release should be measured against those three audiences — in that order.</w:t>
            </w:r>
          </w:p>
        </w:tc>
      </w:tr>
    </w:tbl>
    <w:p>
      <w:pPr>
        <w:spacing w:after="40"/>
      </w:pPr>
    </w:p>
    <w:p>
      <w:pPr>
        <w:spacing w:after="80" w:lineRule="auto" w:line="276"/>
      </w:pPr>
      <w:r>
        <w:rPr>
          <w:color w:val="333333"/>
          <w:sz w:val="22"/>
        </w:rPr>
        <w:t>This blueprint is the contract between HospitalOS and the market. Build to it and HospitalOS will be the HMS that the next decade of Indian healthcare runs on.</w:t>
      </w:r>
    </w:p>
    <w:p/>
    <w:p>
      <w:pPr>
        <w:jc w:val="center"/>
      </w:pPr>
      <w:r>
        <w:rPr>
          <w:i/>
          <w:color w:val="666666"/>
          <w:sz w:val="22"/>
        </w:rPr>
        <w:t>— End of Blueprint —</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