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jc w:val="center"/>
      </w:pPr>
      <w:r>
        <w:rPr>
          <w:rFonts w:ascii="Calibri" w:hAnsi="Calibri"/>
          <w:b/>
          <w:color w:val="005B96"/>
          <w:sz w:val="96"/>
        </w:rPr>
        <w:t>HOSPITAL</w:t>
      </w:r>
    </w:p>
    <w:p>
      <w:pPr>
        <w:spacing w:after="120"/>
        <w:jc w:val="center"/>
      </w:pPr>
      <w:r>
        <w:rPr>
          <w:rFonts w:ascii="Calibri" w:hAnsi="Calibri"/>
          <w:b/>
          <w:color w:val="0096C7"/>
          <w:sz w:val="96"/>
        </w:rPr>
        <w:t>OS</w:t>
      </w:r>
    </w:p>
    <w:p>
      <w:pPr>
        <w:spacing w:after="80"/>
        <w:jc w:val="center"/>
      </w:pPr>
      <w:r>
        <w:rPr>
          <w:rFonts w:ascii="Calibri" w:hAnsi="Calibri"/>
          <w:color w:val="1A1A2E"/>
          <w:sz w:val="40"/>
        </w:rPr>
        <w:t>Enterprise Hospital Management System</w:t>
      </w:r>
    </w:p>
    <w:p>
      <w:pPr>
        <w:spacing w:before="80" w:after="80"/>
        <w:pBdr>
          <w:bottom w:val="single" w:sz="6" w:space="1" w:color="0096C7"/>
        </w:pBdr>
      </w:pPr>
    </w:p>
    <w:p>
      <w:pPr>
        <w:spacing w:after="600"/>
        <w:jc w:val="center"/>
      </w:pPr>
      <w:r>
        <w:rPr>
          <w:rFonts w:ascii="Calibri" w:hAnsi="Calibri"/>
          <w:i/>
          <w:color w:val="555555"/>
          <w:sz w:val="32"/>
        </w:rPr>
        <w:t>Product Prospectus &amp; Feature Guide</w:t>
      </w:r>
    </w:p>
    <w:tbl>
      <w:tblPr>
        <w:tblW w:type="auto" w:w="0"/>
        <w:jc w:val="center"/>
        <w:tblLook w:firstColumn="1" w:firstRow="1" w:lastColumn="0" w:lastRow="0" w:noHBand="0" w:noVBand="1" w:val="04A0"/>
      </w:tblPr>
      <w:tblGrid>
        <w:gridCol w:w="9360"/>
      </w:tblGrid>
      <w:tr>
        <w:tc>
          <w:tcPr>
            <w:tcW w:type="dxa" w:w="9360"/>
            <w:shd w:fill="E8F4FD" w:val="clear"/>
            <w:tcMar>
              <w:top w:w="120" w:type="dxa"/>
              <w:bottom w:w="120" w:type="dxa"/>
              <w:left w:w="200" w:type="dxa"/>
              <w:right w:w="200" w:type="dxa"/>
            </w:tcMar>
            <w:tcBorders>
              <w:top w:val="none" w:sz="0" w:space="0"/>
              <w:bottom w:val="none" w:sz="0" w:space="0"/>
              <w:left w:val="none" w:sz="0" w:space="0"/>
              <w:right w:val="none" w:sz="0" w:space="0"/>
            </w:tcBorders>
          </w:tcPr>
          <w:p>
            <w:pPr>
              <w:jc w:val="center"/>
            </w:pPr>
            <w:r/>
            <w:r>
              <w:rPr>
                <w:rFonts w:ascii="Calibri" w:hAnsi="Calibri"/>
                <w:i/>
                <w:color w:val="005B96"/>
                <w:sz w:val="22"/>
              </w:rPr>
              <w:t>Version 2.0  •  2026 Edition  •  Confidential</w:t>
            </w:r>
          </w:p>
        </w:tc>
      </w:tr>
    </w:tbl>
    <w:p>
      <w:pPr>
        <w:spacing w:after="40"/>
      </w:pPr>
    </w:p>
    <w:p>
      <w:pPr>
        <w:spacing w:after="200"/>
      </w:pPr>
    </w:p>
    <w:p>
      <w:pPr>
        <w:spacing w:after="200"/>
      </w:pPr>
    </w:p>
    <w:p>
      <w:pPr>
        <w:spacing w:after="200"/>
      </w:pPr>
    </w:p>
    <w:p>
      <w:pPr>
        <w:spacing w:after="200"/>
      </w:pPr>
    </w:p>
    <w:p>
      <w:pPr>
        <w:spacing w:after="40"/>
        <w:jc w:val="center"/>
      </w:pPr>
      <w:r>
        <w:rPr>
          <w:rFonts w:ascii="Calibri" w:hAnsi="Calibri"/>
          <w:b/>
          <w:color w:val="005B96"/>
          <w:sz w:val="24"/>
        </w:rPr>
        <w:t>Avani Enterprise Solutions</w:t>
      </w:r>
    </w:p>
    <w:p>
      <w:pPr>
        <w:jc w:val="center"/>
      </w:pPr>
      <w:r>
        <w:rPr>
          <w:rFonts w:ascii="Calibri" w:hAnsi="Calibri"/>
          <w:i/>
          <w:color w:val="555555"/>
          <w:sz w:val="20"/>
        </w:rPr>
        <w:t>Transforming Healthcare Through Intelligent Technology</w:t>
      </w:r>
    </w:p>
    <w:p>
      <w:r>
        <w:br w:type="page"/>
      </w:r>
    </w:p>
    <w:p>
      <w:pPr>
        <w:pStyle w:val="Heading1"/>
        <w:spacing w:before="240" w:after="240"/>
        <w:jc w:val="left"/>
      </w:pPr>
      <w:r>
        <w:rPr>
          <w:rFonts w:ascii="Calibri" w:hAnsi="Calibri"/>
          <w:color w:val="005B96"/>
        </w:rPr>
        <w:t>Table of Contents</w:t>
      </w:r>
    </w:p>
    <w:p>
      <w:pPr>
        <w:tabs>
          <w:tab w:pos="8928" w:val="right" w:leader="dot"/>
        </w:tabs>
        <w:spacing w:after="40"/>
      </w:pPr>
      <w:r>
        <w:rPr>
          <w:rFonts w:ascii="Calibri" w:hAnsi="Calibri"/>
          <w:b/>
          <w:color w:val="005B96"/>
          <w:sz w:val="22"/>
        </w:rPr>
        <w:t xml:space="preserve">1.  </w:t>
      </w:r>
      <w:r>
        <w:rPr>
          <w:rFonts w:ascii="Calibri" w:hAnsi="Calibri"/>
          <w:b/>
          <w:color w:val="1A1A2E"/>
          <w:sz w:val="22"/>
        </w:rPr>
        <w:t>Executive Summary</w:t>
      </w:r>
      <w:r>
        <w:rPr>
          <w:color w:val="999999"/>
          <w:sz w:val="22"/>
        </w:rPr>
        <w:tab/>
        <w:t>3</w:t>
      </w:r>
    </w:p>
    <w:p>
      <w:pPr>
        <w:tabs>
          <w:tab w:pos="8928" w:val="right" w:leader="dot"/>
        </w:tabs>
        <w:spacing w:after="40"/>
      </w:pPr>
      <w:r>
        <w:rPr>
          <w:rFonts w:ascii="Calibri" w:hAnsi="Calibri"/>
          <w:b/>
          <w:color w:val="005B96"/>
          <w:sz w:val="22"/>
        </w:rPr>
        <w:t xml:space="preserve">2.  </w:t>
      </w:r>
      <w:r>
        <w:rPr>
          <w:rFonts w:ascii="Calibri" w:hAnsi="Calibri"/>
          <w:b/>
          <w:color w:val="1A1A2E"/>
          <w:sz w:val="22"/>
        </w:rPr>
        <w:t>Platform Overview &amp; Architecture</w:t>
      </w:r>
      <w:r>
        <w:rPr>
          <w:color w:val="999999"/>
          <w:sz w:val="22"/>
        </w:rPr>
        <w:tab/>
        <w:t>4</w:t>
      </w:r>
    </w:p>
    <w:p>
      <w:pPr>
        <w:tabs>
          <w:tab w:pos="8928" w:val="right" w:leader="dot"/>
        </w:tabs>
        <w:spacing w:after="40"/>
      </w:pPr>
      <w:r>
        <w:rPr>
          <w:rFonts w:ascii="Calibri" w:hAnsi="Calibri"/>
          <w:b/>
          <w:color w:val="005B96"/>
          <w:sz w:val="22"/>
        </w:rPr>
        <w:t xml:space="preserve">3.  </w:t>
      </w:r>
      <w:r>
        <w:rPr>
          <w:rFonts w:ascii="Calibri" w:hAnsi="Calibri"/>
          <w:b/>
          <w:color w:val="1A1A2E"/>
          <w:sz w:val="22"/>
        </w:rPr>
        <w:t>Core Modules</w:t>
      </w:r>
      <w:r>
        <w:rPr>
          <w:color w:val="999999"/>
          <w:sz w:val="22"/>
        </w:rPr>
        <w:tab/>
        <w:t>5</w:t>
      </w:r>
    </w:p>
    <w:p>
      <w:pPr>
        <w:tabs>
          <w:tab w:pos="8928" w:val="right" w:leader="dot"/>
        </w:tabs>
        <w:spacing w:after="40"/>
      </w:pPr>
      <w:r>
        <w:rPr>
          <w:rFonts w:ascii="Calibri" w:hAnsi="Calibri"/>
          <w:color w:val="1A1A2E"/>
          <w:sz w:val="22"/>
        </w:rPr>
        <w:t xml:space="preserve">   3.1  Reception &amp; Patient Registration</w:t>
      </w:r>
      <w:r>
        <w:rPr>
          <w:color w:val="999999"/>
          <w:sz w:val="22"/>
        </w:rPr>
        <w:tab/>
        <w:t>5</w:t>
      </w:r>
    </w:p>
    <w:p>
      <w:pPr>
        <w:tabs>
          <w:tab w:pos="8928" w:val="right" w:leader="dot"/>
        </w:tabs>
        <w:spacing w:after="40"/>
      </w:pPr>
      <w:r>
        <w:rPr>
          <w:rFonts w:ascii="Calibri" w:hAnsi="Calibri"/>
          <w:color w:val="1A1A2E"/>
          <w:sz w:val="22"/>
        </w:rPr>
        <w:t xml:space="preserve">   3.2  Doctor Dashboard &amp; Clinical Management</w:t>
      </w:r>
      <w:r>
        <w:rPr>
          <w:color w:val="999999"/>
          <w:sz w:val="22"/>
        </w:rPr>
        <w:tab/>
        <w:t>6</w:t>
      </w:r>
    </w:p>
    <w:p>
      <w:pPr>
        <w:tabs>
          <w:tab w:pos="8928" w:val="right" w:leader="dot"/>
        </w:tabs>
        <w:spacing w:after="40"/>
      </w:pPr>
      <w:r>
        <w:rPr>
          <w:rFonts w:ascii="Calibri" w:hAnsi="Calibri"/>
          <w:color w:val="1A1A2E"/>
          <w:sz w:val="22"/>
        </w:rPr>
        <w:t xml:space="preserve">   3.3  Laboratory Management</w:t>
      </w:r>
      <w:r>
        <w:rPr>
          <w:color w:val="999999"/>
          <w:sz w:val="22"/>
        </w:rPr>
        <w:tab/>
        <w:t>7</w:t>
      </w:r>
    </w:p>
    <w:p>
      <w:pPr>
        <w:tabs>
          <w:tab w:pos="8928" w:val="right" w:leader="dot"/>
        </w:tabs>
        <w:spacing w:after="40"/>
      </w:pPr>
      <w:r>
        <w:rPr>
          <w:rFonts w:ascii="Calibri" w:hAnsi="Calibri"/>
          <w:color w:val="1A1A2E"/>
          <w:sz w:val="22"/>
        </w:rPr>
        <w:t xml:space="preserve">   3.4  Pharmacy &amp; Medicine Management</w:t>
      </w:r>
      <w:r>
        <w:rPr>
          <w:color w:val="999999"/>
          <w:sz w:val="22"/>
        </w:rPr>
        <w:tab/>
        <w:t>8</w:t>
      </w:r>
    </w:p>
    <w:p>
      <w:pPr>
        <w:tabs>
          <w:tab w:pos="8928" w:val="right" w:leader="dot"/>
        </w:tabs>
        <w:spacing w:after="40"/>
      </w:pPr>
      <w:r>
        <w:rPr>
          <w:rFonts w:ascii="Calibri" w:hAnsi="Calibri"/>
          <w:color w:val="1A1A2E"/>
          <w:sz w:val="22"/>
        </w:rPr>
        <w:t xml:space="preserve">   3.5  In-Patient Department (IPD)</w:t>
      </w:r>
      <w:r>
        <w:rPr>
          <w:color w:val="999999"/>
          <w:sz w:val="22"/>
        </w:rPr>
        <w:tab/>
        <w:t>9</w:t>
      </w:r>
    </w:p>
    <w:p>
      <w:pPr>
        <w:tabs>
          <w:tab w:pos="8928" w:val="right" w:leader="dot"/>
        </w:tabs>
        <w:spacing w:after="40"/>
      </w:pPr>
      <w:r>
        <w:rPr>
          <w:rFonts w:ascii="Calibri" w:hAnsi="Calibri"/>
          <w:color w:val="1A1A2E"/>
          <w:sz w:val="22"/>
        </w:rPr>
        <w:t xml:space="preserve">   3.6  Nursing Management</w:t>
      </w:r>
      <w:r>
        <w:rPr>
          <w:color w:val="999999"/>
          <w:sz w:val="22"/>
        </w:rPr>
        <w:tab/>
        <w:t>10</w:t>
      </w:r>
    </w:p>
    <w:p>
      <w:pPr>
        <w:tabs>
          <w:tab w:pos="8928" w:val="right" w:leader="dot"/>
        </w:tabs>
        <w:spacing w:after="40"/>
      </w:pPr>
      <w:r>
        <w:rPr>
          <w:rFonts w:ascii="Calibri" w:hAnsi="Calibri"/>
          <w:color w:val="1A1A2E"/>
          <w:sz w:val="22"/>
        </w:rPr>
        <w:t xml:space="preserve">   3.7  Discharge Management</w:t>
      </w:r>
      <w:r>
        <w:rPr>
          <w:color w:val="999999"/>
          <w:sz w:val="22"/>
        </w:rPr>
        <w:tab/>
        <w:t>11</w:t>
      </w:r>
    </w:p>
    <w:p>
      <w:pPr>
        <w:tabs>
          <w:tab w:pos="8928" w:val="right" w:leader="dot"/>
        </w:tabs>
        <w:spacing w:after="40"/>
      </w:pPr>
      <w:r>
        <w:rPr>
          <w:rFonts w:ascii="Calibri" w:hAnsi="Calibri"/>
          <w:b/>
          <w:color w:val="005B96"/>
          <w:sz w:val="22"/>
        </w:rPr>
        <w:t xml:space="preserve">4.  </w:t>
      </w:r>
      <w:r>
        <w:rPr>
          <w:rFonts w:ascii="Calibri" w:hAnsi="Calibri"/>
          <w:b/>
          <w:color w:val="1A1A2E"/>
          <w:sz w:val="22"/>
        </w:rPr>
        <w:t>Administrative &amp; Operational Modules</w:t>
      </w:r>
      <w:r>
        <w:rPr>
          <w:color w:val="999999"/>
          <w:sz w:val="22"/>
        </w:rPr>
        <w:tab/>
        <w:t>12</w:t>
      </w:r>
    </w:p>
    <w:p>
      <w:pPr>
        <w:tabs>
          <w:tab w:pos="8928" w:val="right" w:leader="dot"/>
        </w:tabs>
        <w:spacing w:after="40"/>
      </w:pPr>
      <w:r>
        <w:rPr>
          <w:rFonts w:ascii="Calibri" w:hAnsi="Calibri"/>
          <w:color w:val="1A1A2E"/>
          <w:sz w:val="22"/>
        </w:rPr>
        <w:t xml:space="preserve">   4.1  Billing &amp; Finance</w:t>
      </w:r>
      <w:r>
        <w:rPr>
          <w:color w:val="999999"/>
          <w:sz w:val="22"/>
        </w:rPr>
        <w:tab/>
        <w:t>12</w:t>
      </w:r>
    </w:p>
    <w:p>
      <w:pPr>
        <w:tabs>
          <w:tab w:pos="8928" w:val="right" w:leader="dot"/>
        </w:tabs>
        <w:spacing w:after="40"/>
      </w:pPr>
      <w:r>
        <w:rPr>
          <w:rFonts w:ascii="Calibri" w:hAnsi="Calibri"/>
          <w:color w:val="1A1A2E"/>
          <w:sz w:val="22"/>
        </w:rPr>
        <w:t xml:space="preserve">   4.2  Insurance &amp; TPA Integration</w:t>
      </w:r>
      <w:r>
        <w:rPr>
          <w:color w:val="999999"/>
          <w:sz w:val="22"/>
        </w:rPr>
        <w:tab/>
        <w:t>13</w:t>
      </w:r>
    </w:p>
    <w:p>
      <w:pPr>
        <w:tabs>
          <w:tab w:pos="8928" w:val="right" w:leader="dot"/>
        </w:tabs>
        <w:spacing w:after="40"/>
      </w:pPr>
      <w:r>
        <w:rPr>
          <w:rFonts w:ascii="Calibri" w:hAnsi="Calibri"/>
          <w:color w:val="1A1A2E"/>
          <w:sz w:val="22"/>
        </w:rPr>
        <w:t xml:space="preserve">   4.3  Human Resources (HR)</w:t>
      </w:r>
      <w:r>
        <w:rPr>
          <w:color w:val="999999"/>
          <w:sz w:val="22"/>
        </w:rPr>
        <w:tab/>
        <w:t>14</w:t>
      </w:r>
    </w:p>
    <w:p>
      <w:pPr>
        <w:tabs>
          <w:tab w:pos="8928" w:val="right" w:leader="dot"/>
        </w:tabs>
        <w:spacing w:after="40"/>
      </w:pPr>
      <w:r>
        <w:rPr>
          <w:rFonts w:ascii="Calibri" w:hAnsi="Calibri"/>
          <w:color w:val="1A1A2E"/>
          <w:sz w:val="22"/>
        </w:rPr>
        <w:t xml:space="preserve">   4.4  OPD Manager</w:t>
      </w:r>
      <w:r>
        <w:rPr>
          <w:color w:val="999999"/>
          <w:sz w:val="22"/>
        </w:rPr>
        <w:tab/>
        <w:t>15</w:t>
      </w:r>
    </w:p>
    <w:p>
      <w:pPr>
        <w:tabs>
          <w:tab w:pos="8928" w:val="right" w:leader="dot"/>
        </w:tabs>
        <w:spacing w:after="40"/>
      </w:pPr>
      <w:r>
        <w:rPr>
          <w:rFonts w:ascii="Calibri" w:hAnsi="Calibri"/>
          <w:b/>
          <w:color w:val="005B96"/>
          <w:sz w:val="22"/>
        </w:rPr>
        <w:t xml:space="preserve">5.  </w:t>
      </w:r>
      <w:r>
        <w:rPr>
          <w:rFonts w:ascii="Calibri" w:hAnsi="Calibri"/>
          <w:b/>
          <w:color w:val="1A1A2E"/>
          <w:sz w:val="22"/>
        </w:rPr>
        <w:t>Administration &amp; Configuration</w:t>
      </w:r>
      <w:r>
        <w:rPr>
          <w:color w:val="999999"/>
          <w:sz w:val="22"/>
        </w:rPr>
        <w:tab/>
        <w:t>16</w:t>
      </w:r>
    </w:p>
    <w:p>
      <w:pPr>
        <w:tabs>
          <w:tab w:pos="8928" w:val="right" w:leader="dot"/>
        </w:tabs>
        <w:spacing w:after="40"/>
      </w:pPr>
      <w:r>
        <w:rPr>
          <w:rFonts w:ascii="Calibri" w:hAnsi="Calibri"/>
          <w:b/>
          <w:color w:val="005B96"/>
          <w:sz w:val="22"/>
        </w:rPr>
        <w:t xml:space="preserve">6.  </w:t>
      </w:r>
      <w:r>
        <w:rPr>
          <w:rFonts w:ascii="Calibri" w:hAnsi="Calibri"/>
          <w:b/>
          <w:color w:val="1A1A2E"/>
          <w:sz w:val="22"/>
        </w:rPr>
        <w:t>Patient Portal (Patient-Facing App)</w:t>
      </w:r>
      <w:r>
        <w:rPr>
          <w:color w:val="999999"/>
          <w:sz w:val="22"/>
        </w:rPr>
        <w:tab/>
        <w:t>17</w:t>
      </w:r>
    </w:p>
    <w:p>
      <w:pPr>
        <w:tabs>
          <w:tab w:pos="8928" w:val="right" w:leader="dot"/>
        </w:tabs>
        <w:spacing w:after="40"/>
      </w:pPr>
      <w:r>
        <w:rPr>
          <w:rFonts w:ascii="Calibri" w:hAnsi="Calibri"/>
          <w:b/>
          <w:color w:val="005B96"/>
          <w:sz w:val="22"/>
        </w:rPr>
        <w:t xml:space="preserve">7.  </w:t>
      </w:r>
      <w:r>
        <w:rPr>
          <w:rFonts w:ascii="Calibri" w:hAnsi="Calibri"/>
          <w:b/>
          <w:color w:val="1A1A2E"/>
          <w:sz w:val="22"/>
        </w:rPr>
        <w:t>AI-Powered Intelligence Features</w:t>
      </w:r>
      <w:r>
        <w:rPr>
          <w:color w:val="999999"/>
          <w:sz w:val="22"/>
        </w:rPr>
        <w:tab/>
        <w:t>18</w:t>
      </w:r>
    </w:p>
    <w:p>
      <w:pPr>
        <w:tabs>
          <w:tab w:pos="8928" w:val="right" w:leader="dot"/>
        </w:tabs>
        <w:spacing w:after="40"/>
      </w:pPr>
      <w:r>
        <w:rPr>
          <w:rFonts w:ascii="Calibri" w:hAnsi="Calibri"/>
          <w:b/>
          <w:color w:val="005B96"/>
          <w:sz w:val="22"/>
        </w:rPr>
        <w:t xml:space="preserve">8.  </w:t>
      </w:r>
      <w:r>
        <w:rPr>
          <w:rFonts w:ascii="Calibri" w:hAnsi="Calibri"/>
          <w:b/>
          <w:color w:val="1A1A2E"/>
          <w:sz w:val="22"/>
        </w:rPr>
        <w:t>Multi-Tenant &amp; SaaS Architecture</w:t>
      </w:r>
      <w:r>
        <w:rPr>
          <w:color w:val="999999"/>
          <w:sz w:val="22"/>
        </w:rPr>
        <w:tab/>
        <w:t>19</w:t>
      </w:r>
    </w:p>
    <w:p>
      <w:pPr>
        <w:tabs>
          <w:tab w:pos="8928" w:val="right" w:leader="dot"/>
        </w:tabs>
        <w:spacing w:after="40"/>
      </w:pPr>
      <w:r>
        <w:rPr>
          <w:rFonts w:ascii="Calibri" w:hAnsi="Calibri"/>
          <w:b/>
          <w:color w:val="005B96"/>
          <w:sz w:val="22"/>
        </w:rPr>
        <w:t xml:space="preserve">9.  </w:t>
      </w:r>
      <w:r>
        <w:rPr>
          <w:rFonts w:ascii="Calibri" w:hAnsi="Calibri"/>
          <w:b/>
          <w:color w:val="1A1A2E"/>
          <w:sz w:val="22"/>
        </w:rPr>
        <w:t>Security, Compliance &amp; Audit</w:t>
      </w:r>
      <w:r>
        <w:rPr>
          <w:color w:val="999999"/>
          <w:sz w:val="22"/>
        </w:rPr>
        <w:tab/>
        <w:t>20</w:t>
      </w:r>
    </w:p>
    <w:p>
      <w:pPr>
        <w:tabs>
          <w:tab w:pos="8928" w:val="right" w:leader="dot"/>
        </w:tabs>
        <w:spacing w:after="40"/>
      </w:pPr>
      <w:r>
        <w:rPr>
          <w:rFonts w:ascii="Calibri" w:hAnsi="Calibri"/>
          <w:b/>
          <w:color w:val="005B96"/>
          <w:sz w:val="22"/>
        </w:rPr>
        <w:t xml:space="preserve">10.  </w:t>
      </w:r>
      <w:r>
        <w:rPr>
          <w:rFonts w:ascii="Calibri" w:hAnsi="Calibri"/>
          <w:b/>
          <w:color w:val="1A1A2E"/>
          <w:sz w:val="22"/>
        </w:rPr>
        <w:t>Technology Stack</w:t>
      </w:r>
      <w:r>
        <w:rPr>
          <w:color w:val="999999"/>
          <w:sz w:val="22"/>
        </w:rPr>
        <w:tab/>
        <w:t>21</w:t>
      </w:r>
    </w:p>
    <w:p>
      <w:pPr>
        <w:tabs>
          <w:tab w:pos="8928" w:val="right" w:leader="dot"/>
        </w:tabs>
        <w:spacing w:after="40"/>
      </w:pPr>
      <w:r>
        <w:rPr>
          <w:rFonts w:ascii="Calibri" w:hAnsi="Calibri"/>
          <w:b/>
          <w:color w:val="005B96"/>
          <w:sz w:val="22"/>
        </w:rPr>
        <w:t xml:space="preserve">11.  </w:t>
      </w:r>
      <w:r>
        <w:rPr>
          <w:rFonts w:ascii="Calibri" w:hAnsi="Calibri"/>
          <w:b/>
          <w:color w:val="1A1A2E"/>
          <w:sz w:val="22"/>
        </w:rPr>
        <w:t>Platform Statistics &amp; Scale</w:t>
      </w:r>
      <w:r>
        <w:rPr>
          <w:color w:val="999999"/>
          <w:sz w:val="22"/>
        </w:rPr>
        <w:tab/>
        <w:t>22</w:t>
      </w:r>
    </w:p>
    <w:p>
      <w:pPr>
        <w:tabs>
          <w:tab w:pos="8928" w:val="right" w:leader="dot"/>
        </w:tabs>
        <w:spacing w:after="40"/>
      </w:pPr>
      <w:r>
        <w:rPr>
          <w:rFonts w:ascii="Calibri" w:hAnsi="Calibri"/>
          <w:b/>
          <w:color w:val="005B96"/>
          <w:sz w:val="22"/>
        </w:rPr>
        <w:t xml:space="preserve">12.  </w:t>
      </w:r>
      <w:r>
        <w:rPr>
          <w:rFonts w:ascii="Calibri" w:hAnsi="Calibri"/>
          <w:b/>
          <w:color w:val="1A1A2E"/>
          <w:sz w:val="22"/>
        </w:rPr>
        <w:t>Subscription Plans</w:t>
      </w:r>
      <w:r>
        <w:rPr>
          <w:color w:val="999999"/>
          <w:sz w:val="22"/>
        </w:rPr>
        <w:tab/>
        <w:t>23</w:t>
      </w:r>
    </w:p>
    <w:p>
      <w:pPr>
        <w:tabs>
          <w:tab w:pos="8928" w:val="right" w:leader="dot"/>
        </w:tabs>
        <w:spacing w:after="40"/>
      </w:pPr>
      <w:r>
        <w:rPr>
          <w:rFonts w:ascii="Calibri" w:hAnsi="Calibri"/>
          <w:b/>
          <w:color w:val="005B96"/>
          <w:sz w:val="22"/>
        </w:rPr>
        <w:t xml:space="preserve">13.  </w:t>
      </w:r>
      <w:r>
        <w:rPr>
          <w:rFonts w:ascii="Calibri" w:hAnsi="Calibri"/>
          <w:b/>
          <w:color w:val="1A1A2E"/>
          <w:sz w:val="22"/>
        </w:rPr>
        <w:t>Implementation &amp; Support</w:t>
      </w:r>
      <w:r>
        <w:rPr>
          <w:color w:val="999999"/>
          <w:sz w:val="22"/>
        </w:rPr>
        <w:tab/>
        <w:t>24</w:t>
      </w:r>
    </w:p>
    <w:p>
      <w:pPr>
        <w:tabs>
          <w:tab w:pos="8928" w:val="right" w:leader="dot"/>
        </w:tabs>
        <w:spacing w:after="40"/>
      </w:pPr>
      <w:r>
        <w:rPr>
          <w:rFonts w:ascii="Calibri" w:hAnsi="Calibri"/>
          <w:b/>
          <w:color w:val="005B96"/>
          <w:sz w:val="22"/>
        </w:rPr>
        <w:t xml:space="preserve">14.  </w:t>
      </w:r>
      <w:r>
        <w:rPr>
          <w:rFonts w:ascii="Calibri" w:hAnsi="Calibri"/>
          <w:b/>
          <w:color w:val="1A1A2E"/>
          <w:sz w:val="22"/>
        </w:rPr>
        <w:t>Why HospitalOS?</w:t>
      </w:r>
      <w:r>
        <w:rPr>
          <w:color w:val="999999"/>
          <w:sz w:val="22"/>
        </w:rPr>
        <w:tab/>
        <w:t>25</w:t>
      </w:r>
    </w:p>
    <w:p>
      <w:r>
        <w:br w:type="page"/>
      </w:r>
    </w:p>
    <w:p>
      <w:pPr>
        <w:pStyle w:val="Heading1"/>
        <w:spacing w:before="360" w:after="120"/>
        <w:jc w:val="left"/>
      </w:pPr>
      <w:r>
        <w:rPr>
          <w:rFonts w:ascii="Calibri" w:hAnsi="Calibri"/>
          <w:color w:val="005B96"/>
        </w:rPr>
        <w:t>1. Executive Summary</w:t>
      </w:r>
    </w:p>
    <w:p>
      <w:pPr>
        <w:spacing w:before="80" w:after="80"/>
        <w:pBdr>
          <w:bottom w:val="single" w:sz="6" w:space="1" w:color="0096C7"/>
        </w:pBdr>
      </w:pPr>
    </w:p>
    <w:p>
      <w:pPr>
        <w:spacing w:after="120"/>
        <w:jc w:val="both"/>
      </w:pPr>
      <w:r>
        <w:rPr>
          <w:rFonts w:ascii="Calibri" w:hAnsi="Calibri"/>
          <w:b w:val="0"/>
          <w:i w:val="0"/>
          <w:color w:val="1A1A2E"/>
          <w:sz w:val="22"/>
        </w:rPr>
        <w:t>HospitalOS is a next-generation, enterprise-grade Hospital Management System (HMS) engineered to digitize and streamline every aspect of hospital operations — from the moment a patient walks through the reception doors to their final discharge and follow-up care. Built on cutting-edge web technologies and powered by artificial intelligence, HospitalOS delivers a unified, cloud-ready platform that replaces fragmented legacy systems with a single, cohesive operating system for modern healthcare institutions.</w:t>
      </w:r>
    </w:p>
    <w:p>
      <w:pPr>
        <w:spacing w:after="120"/>
        <w:jc w:val="both"/>
      </w:pPr>
      <w:r>
        <w:rPr>
          <w:rFonts w:ascii="Calibri" w:hAnsi="Calibri"/>
          <w:b w:val="0"/>
          <w:i w:val="0"/>
          <w:color w:val="1A1A2E"/>
          <w:sz w:val="22"/>
        </w:rPr>
        <w:t>Designed for hospitals, multi-specialty clinics, nursing homes, and healthcare chains, HospitalOS offers a modular architecture that scales from a single-location clinic to a multi-branch hospital network. Its multi-tenant SaaS model ensures complete data isolation between organizations while enabling centralized platform management through a dedicated Super Admin console.</w:t>
      </w:r>
    </w:p>
    <w:tbl>
      <w:tblPr>
        <w:tblW w:type="auto" w:w="0"/>
        <w:jc w:val="center"/>
        <w:tblLook w:firstColumn="1" w:firstRow="1" w:lastColumn="0" w:lastRow="0" w:noHBand="0" w:noVBand="1" w:val="04A0"/>
      </w:tblPr>
      <w:tblGrid>
        <w:gridCol w:w="9360"/>
      </w:tblGrid>
      <w:tr>
        <w:tc>
          <w:tcPr>
            <w:tcW w:type="dxa" w:w="9360"/>
            <w:shd w:fill="E8F4FD" w:val="clear"/>
            <w:tcMar>
              <w:top w:w="120" w:type="dxa"/>
              <w:bottom w:w="120" w:type="dxa"/>
              <w:left w:w="200" w:type="dxa"/>
              <w:right w:w="200" w:type="dxa"/>
            </w:tcMar>
            <w:tcBorders>
              <w:top w:val="none" w:sz="0" w:space="0"/>
              <w:bottom w:val="none" w:sz="0" w:space="0"/>
              <w:left w:val="none" w:sz="0" w:space="0"/>
              <w:right w:val="none" w:sz="0" w:space="0"/>
            </w:tcBorders>
          </w:tcPr>
          <w:p>
            <w:pPr>
              <w:jc w:val="center"/>
            </w:pPr>
            <w:r/>
            <w:r>
              <w:rPr>
                <w:rFonts w:ascii="Calibri" w:hAnsi="Calibri"/>
                <w:i/>
                <w:color w:val="005B96"/>
                <w:sz w:val="22"/>
              </w:rPr>
              <w:t>“HospitalOS is not just software — it is the digital backbone of your hospital, connecting every department, every workflow, and every stakeholder into one intelligent ecosystem.”</w:t>
            </w:r>
          </w:p>
        </w:tc>
      </w:tr>
    </w:tbl>
    <w:p>
      <w:pPr>
        <w:spacing w:after="40"/>
      </w:pPr>
    </w:p>
    <w:p>
      <w:pPr>
        <w:pStyle w:val="Heading2"/>
        <w:spacing w:before="200" w:after="120"/>
        <w:jc w:val="left"/>
      </w:pPr>
      <w:r>
        <w:rPr>
          <w:rFonts w:ascii="Calibri" w:hAnsi="Calibri"/>
          <w:color w:val="0096C7"/>
        </w:rPr>
        <w:t>Key Value Propositions</w:t>
      </w:r>
    </w:p>
    <w:p>
      <w:pPr>
        <w:pStyle w:val="ListBullet"/>
        <w:spacing w:after="60"/>
      </w:pPr>
      <w:r>
        <w:rPr>
          <w:rFonts w:ascii="Calibri" w:hAnsi="Calibri"/>
          <w:b/>
          <w:color w:val="1A1A2E"/>
          <w:sz w:val="21"/>
        </w:rPr>
        <w:t xml:space="preserve">End-to-End Workflow Automation: </w:t>
      </w:r>
      <w:r>
        <w:rPr>
          <w:rFonts w:ascii="Calibri" w:hAnsi="Calibri"/>
          <w:color w:val="1A1A2E"/>
          <w:sz w:val="21"/>
        </w:rPr>
        <w:t>Seamlessly manage patient registration, appointments, clinical care, laboratory, pharmacy, billing, discharge, and follow-up — all within a single platform.</w:t>
      </w:r>
    </w:p>
    <w:p>
      <w:pPr>
        <w:pStyle w:val="ListBullet"/>
        <w:spacing w:after="60"/>
      </w:pPr>
      <w:r>
        <w:rPr>
          <w:rFonts w:ascii="Calibri" w:hAnsi="Calibri"/>
          <w:b/>
          <w:color w:val="1A1A2E"/>
          <w:sz w:val="21"/>
        </w:rPr>
        <w:t xml:space="preserve">AI-Powered Clinical Intelligence: </w:t>
      </w:r>
      <w:r>
        <w:rPr>
          <w:rFonts w:ascii="Calibri" w:hAnsi="Calibri"/>
          <w:color w:val="1A1A2E"/>
          <w:sz w:val="21"/>
        </w:rPr>
        <w:t>Leverage built-in AI triage, automated lab result interpretation, health risk assessments, and intelligent SOAP note generation to enhance clinical decision-making.</w:t>
      </w:r>
    </w:p>
    <w:p>
      <w:pPr>
        <w:pStyle w:val="ListBullet"/>
        <w:spacing w:after="60"/>
      </w:pPr>
      <w:r>
        <w:rPr>
          <w:rFonts w:ascii="Calibri" w:hAnsi="Calibri"/>
          <w:b/>
          <w:color w:val="1A1A2E"/>
          <w:sz w:val="21"/>
        </w:rPr>
        <w:t xml:space="preserve">Multi-Tenant SaaS Architecture: </w:t>
      </w:r>
      <w:r>
        <w:rPr>
          <w:rFonts w:ascii="Calibri" w:hAnsi="Calibri"/>
          <w:color w:val="1A1A2E"/>
          <w:sz w:val="21"/>
        </w:rPr>
        <w:t>Deploy for a single hospital or scale to manage an entire healthcare chain with branch-level configurations, centralized oversight, and subscription-based licensing.</w:t>
      </w:r>
    </w:p>
    <w:p>
      <w:pPr>
        <w:pStyle w:val="ListBullet"/>
        <w:spacing w:after="60"/>
      </w:pPr>
      <w:r>
        <w:rPr>
          <w:rFonts w:ascii="Calibri" w:hAnsi="Calibri"/>
          <w:b/>
          <w:color w:val="1A1A2E"/>
          <w:sz w:val="21"/>
        </w:rPr>
        <w:t xml:space="preserve">Patient-Centric Digital Experience: </w:t>
      </w:r>
      <w:r>
        <w:rPr>
          <w:rFonts w:ascii="Calibri" w:hAnsi="Calibri"/>
          <w:color w:val="1A1A2E"/>
          <w:sz w:val="21"/>
        </w:rPr>
        <w:t>Empower patients with a self-service portal for appointment booking, lab results, prescription access, online payments, vitals tracking, and health assessments.</w:t>
      </w:r>
    </w:p>
    <w:p>
      <w:pPr>
        <w:pStyle w:val="ListBullet"/>
        <w:spacing w:after="60"/>
      </w:pPr>
      <w:r>
        <w:rPr>
          <w:rFonts w:ascii="Calibri" w:hAnsi="Calibri"/>
          <w:b/>
          <w:color w:val="1A1A2E"/>
          <w:sz w:val="21"/>
        </w:rPr>
        <w:t xml:space="preserve">Regulatory Compliance Built-In: </w:t>
      </w:r>
      <w:r>
        <w:rPr>
          <w:rFonts w:ascii="Calibri" w:hAnsi="Calibri"/>
          <w:color w:val="1A1A2E"/>
          <w:sz w:val="21"/>
        </w:rPr>
        <w:t>NABH, NABL, JCI accreditation support with comprehensive audit trails, role-based access control, session management, and data encryption.</w:t>
      </w:r>
    </w:p>
    <w:p>
      <w:pPr>
        <w:pStyle w:val="ListBullet"/>
        <w:spacing w:after="60"/>
      </w:pPr>
      <w:r>
        <w:rPr>
          <w:rFonts w:ascii="Calibri" w:hAnsi="Calibri"/>
          <w:b/>
          <w:color w:val="1A1A2E"/>
          <w:sz w:val="21"/>
        </w:rPr>
        <w:t xml:space="preserve">Real-Time Financial Control: </w:t>
      </w:r>
      <w:r>
        <w:rPr>
          <w:rFonts w:ascii="Calibri" w:hAnsi="Calibri"/>
          <w:color w:val="1A1A2E"/>
          <w:sz w:val="21"/>
        </w:rPr>
        <w:t>Integrated billing engine with Razorpay payment gateway, insurance claim management, TPA integration, cash closure, bank reconciliation, and multi-format financial reporting.</w:t>
      </w:r>
    </w:p>
    <w:p>
      <w:r>
        <w:br w:type="page"/>
      </w:r>
    </w:p>
    <w:p>
      <w:pPr>
        <w:pStyle w:val="Heading1"/>
        <w:spacing w:before="360" w:after="120"/>
        <w:jc w:val="left"/>
      </w:pPr>
      <w:r>
        <w:rPr>
          <w:rFonts w:ascii="Calibri" w:hAnsi="Calibri"/>
          <w:color w:val="005B96"/>
        </w:rPr>
        <w:t>2. Platform Overview &amp; Architecture</w:t>
      </w:r>
    </w:p>
    <w:p>
      <w:pPr>
        <w:spacing w:before="80" w:after="80"/>
        <w:pBdr>
          <w:bottom w:val="single" w:sz="6" w:space="1" w:color="0096C7"/>
        </w:pBdr>
      </w:pPr>
    </w:p>
    <w:p>
      <w:pPr>
        <w:spacing w:after="120"/>
        <w:jc w:val="both"/>
      </w:pPr>
      <w:r>
        <w:rPr>
          <w:rFonts w:ascii="Calibri" w:hAnsi="Calibri"/>
          <w:b w:val="0"/>
          <w:i w:val="0"/>
          <w:color w:val="1A1A2E"/>
          <w:sz w:val="22"/>
        </w:rPr>
        <w:t>HospitalOS is architected as a modern, full-stack web application leveraging the latest advancements in web technology to deliver exceptional performance, reliability, and developer experience. The platform follows a modular, API-driven architecture that ensures each functional area operates independently while sharing a unified data layer.</w:t>
      </w:r>
    </w:p>
    <w:p>
      <w:pPr>
        <w:pStyle w:val="Heading2"/>
        <w:spacing w:before="200" w:after="120"/>
        <w:jc w:val="left"/>
      </w:pPr>
      <w:r>
        <w:rPr>
          <w:rFonts w:ascii="Calibri" w:hAnsi="Calibri"/>
          <w:color w:val="0096C7"/>
        </w:rPr>
        <w:t>Architecture Highlights</w:t>
      </w:r>
    </w:p>
    <w:p>
      <w:pPr>
        <w:pStyle w:val="ListBullet"/>
        <w:spacing w:after="60"/>
      </w:pPr>
      <w:r>
        <w:rPr>
          <w:rFonts w:ascii="Calibri" w:hAnsi="Calibri"/>
          <w:b/>
          <w:color w:val="1A1A2E"/>
          <w:sz w:val="21"/>
        </w:rPr>
        <w:t xml:space="preserve">Monolithic-Modular Design: </w:t>
      </w:r>
      <w:r>
        <w:rPr>
          <w:rFonts w:ascii="Calibri" w:hAnsi="Calibri"/>
          <w:color w:val="1A1A2E"/>
          <w:sz w:val="21"/>
        </w:rPr>
        <w:t>All modules reside in a single deployable codebase with clear boundaries, enabling rapid feature development while maintaining deployment simplicity.</w:t>
      </w:r>
    </w:p>
    <w:p>
      <w:pPr>
        <w:pStyle w:val="ListBullet"/>
        <w:spacing w:after="60"/>
      </w:pPr>
      <w:r>
        <w:rPr>
          <w:rFonts w:ascii="Calibri" w:hAnsi="Calibri"/>
          <w:b/>
          <w:color w:val="1A1A2E"/>
          <w:sz w:val="21"/>
        </w:rPr>
        <w:t xml:space="preserve">Server-Side Rendering (SSR) + Static Generation: </w:t>
      </w:r>
      <w:r>
        <w:rPr>
          <w:rFonts w:ascii="Calibri" w:hAnsi="Calibri"/>
          <w:color w:val="1A1A2E"/>
          <w:sz w:val="21"/>
        </w:rPr>
        <w:t>Next.js 15 powers the frontend with hybrid rendering for optimal performance. Pages load instantly while maintaining dynamic data freshness.</w:t>
      </w:r>
    </w:p>
    <w:p>
      <w:pPr>
        <w:pStyle w:val="ListBullet"/>
        <w:spacing w:after="60"/>
      </w:pPr>
      <w:r>
        <w:rPr>
          <w:rFonts w:ascii="Calibri" w:hAnsi="Calibri"/>
          <w:b/>
          <w:color w:val="1A1A2E"/>
          <w:sz w:val="21"/>
        </w:rPr>
        <w:t xml:space="preserve">Server Actions for Business Logic: </w:t>
      </w:r>
      <w:r>
        <w:rPr>
          <w:rFonts w:ascii="Calibri" w:hAnsi="Calibri"/>
          <w:color w:val="1A1A2E"/>
          <w:sz w:val="21"/>
        </w:rPr>
        <w:t>Over 33 dedicated server actions handle complex business workflows including patient registration, billing calculations, insurance claims, and inventory management.</w:t>
      </w:r>
    </w:p>
    <w:p>
      <w:pPr>
        <w:pStyle w:val="ListBullet"/>
        <w:spacing w:after="60"/>
      </w:pPr>
      <w:r>
        <w:rPr>
          <w:rFonts w:ascii="Calibri" w:hAnsi="Calibri"/>
          <w:b/>
          <w:color w:val="1A1A2E"/>
          <w:sz w:val="21"/>
        </w:rPr>
        <w:t xml:space="preserve">RESTful API Layer: </w:t>
      </w:r>
      <w:r>
        <w:rPr>
          <w:rFonts w:ascii="Calibri" w:hAnsi="Calibri"/>
          <w:color w:val="1A1A2E"/>
          <w:sz w:val="21"/>
        </w:rPr>
        <w:t>20+ API routes provide integration points for external systems, payment gateways, insurance platforms (Zealthix), and third-party services.</w:t>
      </w:r>
    </w:p>
    <w:p>
      <w:pPr>
        <w:pStyle w:val="ListBullet"/>
        <w:spacing w:after="60"/>
      </w:pPr>
      <w:r>
        <w:rPr>
          <w:rFonts w:ascii="Calibri" w:hAnsi="Calibri"/>
          <w:b/>
          <w:color w:val="1A1A2E"/>
          <w:sz w:val="21"/>
        </w:rPr>
        <w:t xml:space="preserve">Multi-Tenant Data Isolation: </w:t>
      </w:r>
      <w:r>
        <w:rPr>
          <w:rFonts w:ascii="Calibri" w:hAnsi="Calibri"/>
          <w:color w:val="1A1A2E"/>
          <w:sz w:val="21"/>
        </w:rPr>
        <w:t>Every database query is scoped by organization ID, ensuring complete data segregation between hospital tenants within a shared infrastructure.</w:t>
      </w:r>
    </w:p>
    <w:p>
      <w:pPr>
        <w:pStyle w:val="ListBullet"/>
        <w:spacing w:after="60"/>
      </w:pPr>
      <w:r>
        <w:rPr>
          <w:rFonts w:ascii="Calibri" w:hAnsi="Calibri"/>
          <w:b/>
          <w:color w:val="1A1A2E"/>
          <w:sz w:val="21"/>
        </w:rPr>
        <w:t xml:space="preserve">Role-Based Access Control (RBAC): </w:t>
      </w:r>
      <w:r>
        <w:rPr>
          <w:rFonts w:ascii="Calibri" w:hAnsi="Calibri"/>
          <w:color w:val="1A1A2E"/>
          <w:sz w:val="21"/>
        </w:rPr>
        <w:t>Granular permission system with custom roles, data scope levels (own, department, branch, organization), and module-level visibility controls.</w:t>
      </w:r>
    </w:p>
    <w:p>
      <w:pPr>
        <w:pStyle w:val="Heading2"/>
        <w:spacing w:before="200" w:after="120"/>
        <w:jc w:val="left"/>
      </w:pPr>
      <w:r>
        <w:rPr>
          <w:rFonts w:ascii="Calibri" w:hAnsi="Calibri"/>
          <w:color w:val="0096C7"/>
        </w:rPr>
        <w:t>Deployment Options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005B96" w:val="clear"/>
            <w:tcMar>
              <w:top w:w="60" w:type="dxa"/>
              <w:bottom w:w="60" w:type="dxa"/>
              <w:left w:w="100" w:type="dxa"/>
              <w:right w:w="100" w:type="dxa"/>
            </w:tcMar>
          </w:tcPr>
          <w:p>
            <w:pPr>
              <w:jc w:val="center"/>
            </w:pPr>
            <w:r/>
            <w:r>
              <w:rPr>
                <w:rFonts w:ascii="Calibri" w:hAnsi="Calibri"/>
                <w:b/>
                <w:color w:val="FFFFFF"/>
                <w:sz w:val="20"/>
              </w:rPr>
              <w:t>Deployment Model</w:t>
            </w:r>
          </w:p>
        </w:tc>
        <w:tc>
          <w:tcPr>
            <w:tcW w:type="dxa" w:w="4320"/>
            <w:shd w:fill="005B96" w:val="clear"/>
            <w:tcMar>
              <w:top w:w="60" w:type="dxa"/>
              <w:bottom w:w="60" w:type="dxa"/>
              <w:left w:w="100" w:type="dxa"/>
              <w:right w:w="100" w:type="dxa"/>
            </w:tcMar>
          </w:tcPr>
          <w:p>
            <w:pPr>
              <w:jc w:val="center"/>
            </w:pPr>
            <w:r/>
            <w:r>
              <w:rPr>
                <w:rFonts w:ascii="Calibri" w:hAnsi="Calibri"/>
                <w:b/>
                <w:color w:val="FFFFFF"/>
                <w:sz w:val="20"/>
              </w:rPr>
              <w:t>Description</w:t>
            </w:r>
          </w:p>
        </w:tc>
        <w:tc>
          <w:tcPr>
            <w:tcW w:type="dxa" w:w="2880"/>
            <w:shd w:fill="005B96" w:val="clear"/>
            <w:tcMar>
              <w:top w:w="60" w:type="dxa"/>
              <w:bottom w:w="60" w:type="dxa"/>
              <w:left w:w="100" w:type="dxa"/>
              <w:right w:w="100" w:type="dxa"/>
            </w:tcMar>
          </w:tcPr>
          <w:p>
            <w:pPr>
              <w:jc w:val="center"/>
            </w:pPr>
            <w:r/>
            <w:r>
              <w:rPr>
                <w:rFonts w:ascii="Calibri" w:hAnsi="Calibri"/>
                <w:b/>
                <w:color w:val="FFFFFF"/>
                <w:sz w:val="20"/>
              </w:rPr>
              <w:t>Best For</w:t>
            </w:r>
          </w:p>
        </w:tc>
      </w:tr>
      <w:tr>
        <w:tc>
          <w:tcPr>
            <w:tcW w:type="dxa" w:w="2160"/>
            <w:shd w:fill="F0F9FF" w:val="clear"/>
            <w:tcMar>
              <w:top w:w="50" w:type="dxa"/>
              <w:bottom w:w="50" w:type="dxa"/>
              <w:left w:w="100" w:type="dxa"/>
              <w:right w:w="100" w:type="dxa"/>
            </w:tcMar>
          </w:tcPr>
          <w:p>
            <w:pPr>
              <w:jc w:val="left"/>
            </w:pPr>
            <w:r/>
            <w:r>
              <w:rPr>
                <w:rFonts w:ascii="Calibri" w:hAnsi="Calibri"/>
                <w:color w:val="1A1A2E"/>
                <w:sz w:val="20"/>
              </w:rPr>
              <w:t>Cloud SaaS</w:t>
            </w:r>
          </w:p>
        </w:tc>
        <w:tc>
          <w:tcPr>
            <w:tcW w:type="dxa" w:w="4320"/>
            <w:shd w:fill="F0F9FF" w:val="clear"/>
            <w:tcMar>
              <w:top w:w="50" w:type="dxa"/>
              <w:bottom w:w="50" w:type="dxa"/>
              <w:left w:w="100" w:type="dxa"/>
              <w:right w:w="100" w:type="dxa"/>
            </w:tcMar>
          </w:tcPr>
          <w:p>
            <w:pPr>
              <w:jc w:val="left"/>
            </w:pPr>
            <w:r/>
            <w:r>
              <w:rPr>
                <w:rFonts w:ascii="Calibri" w:hAnsi="Calibri"/>
                <w:color w:val="1A1A2E"/>
                <w:sz w:val="20"/>
              </w:rPr>
              <w:t>Fully managed on Vercel + Supabase cloud infrastructure</w:t>
            </w:r>
          </w:p>
        </w:tc>
        <w:tc>
          <w:tcPr>
            <w:tcW w:type="dxa" w:w="2880"/>
            <w:shd w:fill="F0F9FF" w:val="clear"/>
            <w:tcMar>
              <w:top w:w="50" w:type="dxa"/>
              <w:bottom w:w="50" w:type="dxa"/>
              <w:left w:w="100" w:type="dxa"/>
              <w:right w:w="100" w:type="dxa"/>
            </w:tcMar>
          </w:tcPr>
          <w:p>
            <w:pPr>
              <w:jc w:val="left"/>
            </w:pPr>
            <w:r/>
            <w:r>
              <w:rPr>
                <w:rFonts w:ascii="Calibri" w:hAnsi="Calibri"/>
                <w:color w:val="1A1A2E"/>
                <w:sz w:val="20"/>
              </w:rPr>
              <w:t>Small-Medium hospitals, quick setup</w:t>
            </w:r>
          </w:p>
        </w:tc>
      </w:tr>
      <w:tr>
        <w:tc>
          <w:tcPr>
            <w:tcW w:type="dxa" w:w="2160"/>
            <w:shd w:fill="FFFFFF" w:val="clear"/>
            <w:tcMar>
              <w:top w:w="50" w:type="dxa"/>
              <w:bottom w:w="50" w:type="dxa"/>
              <w:left w:w="100" w:type="dxa"/>
              <w:right w:w="100" w:type="dxa"/>
            </w:tcMar>
          </w:tcPr>
          <w:p>
            <w:pPr>
              <w:jc w:val="left"/>
            </w:pPr>
            <w:r/>
            <w:r>
              <w:rPr>
                <w:rFonts w:ascii="Calibri" w:hAnsi="Calibri"/>
                <w:color w:val="1A1A2E"/>
                <w:sz w:val="20"/>
              </w:rPr>
              <w:t>Private Cloud</w:t>
            </w:r>
          </w:p>
        </w:tc>
        <w:tc>
          <w:tcPr>
            <w:tcW w:type="dxa" w:w="4320"/>
            <w:shd w:fill="FFFFFF" w:val="clear"/>
            <w:tcMar>
              <w:top w:w="50" w:type="dxa"/>
              <w:bottom w:w="50" w:type="dxa"/>
              <w:left w:w="100" w:type="dxa"/>
              <w:right w:w="100" w:type="dxa"/>
            </w:tcMar>
          </w:tcPr>
          <w:p>
            <w:pPr>
              <w:jc w:val="left"/>
            </w:pPr>
            <w:r/>
            <w:r>
              <w:rPr>
                <w:rFonts w:ascii="Calibri" w:hAnsi="Calibri"/>
                <w:color w:val="1A1A2E"/>
                <w:sz w:val="20"/>
              </w:rPr>
              <w:t>Deployed on dedicated AWS/Azure/GCP instances</w:t>
            </w:r>
          </w:p>
        </w:tc>
        <w:tc>
          <w:tcPr>
            <w:tcW w:type="dxa" w:w="2880"/>
            <w:shd w:fill="FFFFFF" w:val="clear"/>
            <w:tcMar>
              <w:top w:w="50" w:type="dxa"/>
              <w:bottom w:w="50" w:type="dxa"/>
              <w:left w:w="100" w:type="dxa"/>
              <w:right w:w="100" w:type="dxa"/>
            </w:tcMar>
          </w:tcPr>
          <w:p>
            <w:pPr>
              <w:jc w:val="left"/>
            </w:pPr>
            <w:r/>
            <w:r>
              <w:rPr>
                <w:rFonts w:ascii="Calibri" w:hAnsi="Calibri"/>
                <w:color w:val="1A1A2E"/>
                <w:sz w:val="20"/>
              </w:rPr>
              <w:t>Enterprise hospitals requiring data sovereignty</w:t>
            </w:r>
          </w:p>
        </w:tc>
      </w:tr>
      <w:tr>
        <w:tc>
          <w:tcPr>
            <w:tcW w:type="dxa" w:w="2160"/>
            <w:shd w:fill="F0F9FF" w:val="clear"/>
            <w:tcMar>
              <w:top w:w="50" w:type="dxa"/>
              <w:bottom w:w="50" w:type="dxa"/>
              <w:left w:w="100" w:type="dxa"/>
              <w:right w:w="100" w:type="dxa"/>
            </w:tcMar>
          </w:tcPr>
          <w:p>
            <w:pPr>
              <w:jc w:val="left"/>
            </w:pPr>
            <w:r/>
            <w:r>
              <w:rPr>
                <w:rFonts w:ascii="Calibri" w:hAnsi="Calibri"/>
                <w:color w:val="1A1A2E"/>
                <w:sz w:val="20"/>
              </w:rPr>
              <w:t>On-Premise</w:t>
            </w:r>
          </w:p>
        </w:tc>
        <w:tc>
          <w:tcPr>
            <w:tcW w:type="dxa" w:w="4320"/>
            <w:shd w:fill="F0F9FF" w:val="clear"/>
            <w:tcMar>
              <w:top w:w="50" w:type="dxa"/>
              <w:bottom w:w="50" w:type="dxa"/>
              <w:left w:w="100" w:type="dxa"/>
              <w:right w:w="100" w:type="dxa"/>
            </w:tcMar>
          </w:tcPr>
          <w:p>
            <w:pPr>
              <w:jc w:val="left"/>
            </w:pPr>
            <w:r/>
            <w:r>
              <w:rPr>
                <w:rFonts w:ascii="Calibri" w:hAnsi="Calibri"/>
                <w:color w:val="1A1A2E"/>
                <w:sz w:val="20"/>
              </w:rPr>
              <w:t>Installed on hospital-owned servers with PostgreSQL</w:t>
            </w:r>
          </w:p>
        </w:tc>
        <w:tc>
          <w:tcPr>
            <w:tcW w:type="dxa" w:w="2880"/>
            <w:shd w:fill="F0F9FF" w:val="clear"/>
            <w:tcMar>
              <w:top w:w="50" w:type="dxa"/>
              <w:bottom w:w="50" w:type="dxa"/>
              <w:left w:w="100" w:type="dxa"/>
              <w:right w:w="100" w:type="dxa"/>
            </w:tcMar>
          </w:tcPr>
          <w:p>
            <w:pPr>
              <w:jc w:val="left"/>
            </w:pPr>
            <w:r/>
            <w:r>
              <w:rPr>
                <w:rFonts w:ascii="Calibri" w:hAnsi="Calibri"/>
                <w:color w:val="1A1A2E"/>
                <w:sz w:val="20"/>
              </w:rPr>
              <w:t>Government hospitals, high-security environments</w:t>
            </w:r>
          </w:p>
        </w:tc>
      </w:tr>
      <w:tr>
        <w:tc>
          <w:tcPr>
            <w:tcW w:type="dxa" w:w="2160"/>
            <w:shd w:fill="FFFFFF" w:val="clear"/>
            <w:tcMar>
              <w:top w:w="50" w:type="dxa"/>
              <w:bottom w:w="50" w:type="dxa"/>
              <w:left w:w="100" w:type="dxa"/>
              <w:right w:w="100" w:type="dxa"/>
            </w:tcMar>
          </w:tcPr>
          <w:p>
            <w:pPr>
              <w:jc w:val="left"/>
            </w:pPr>
            <w:r/>
            <w:r>
              <w:rPr>
                <w:rFonts w:ascii="Calibri" w:hAnsi="Calibri"/>
                <w:color w:val="1A1A2E"/>
                <w:sz w:val="20"/>
              </w:rPr>
              <w:t>Hybrid</w:t>
            </w:r>
          </w:p>
        </w:tc>
        <w:tc>
          <w:tcPr>
            <w:tcW w:type="dxa" w:w="4320"/>
            <w:shd w:fill="FFFFFF" w:val="clear"/>
            <w:tcMar>
              <w:top w:w="50" w:type="dxa"/>
              <w:bottom w:w="50" w:type="dxa"/>
              <w:left w:w="100" w:type="dxa"/>
              <w:right w:w="100" w:type="dxa"/>
            </w:tcMar>
          </w:tcPr>
          <w:p>
            <w:pPr>
              <w:jc w:val="left"/>
            </w:pPr>
            <w:r/>
            <w:r>
              <w:rPr>
                <w:rFonts w:ascii="Calibri" w:hAnsi="Calibri"/>
                <w:color w:val="1A1A2E"/>
                <w:sz w:val="20"/>
              </w:rPr>
              <w:t>Core on-premise with cloud-based patient portal</w:t>
            </w:r>
          </w:p>
        </w:tc>
        <w:tc>
          <w:tcPr>
            <w:tcW w:type="dxa" w:w="2880"/>
            <w:shd w:fill="FFFFFF" w:val="clear"/>
            <w:tcMar>
              <w:top w:w="50" w:type="dxa"/>
              <w:bottom w:w="50" w:type="dxa"/>
              <w:left w:w="100" w:type="dxa"/>
              <w:right w:w="100" w:type="dxa"/>
            </w:tcMar>
          </w:tcPr>
          <w:p>
            <w:pPr>
              <w:jc w:val="left"/>
            </w:pPr>
            <w:r/>
            <w:r>
              <w:rPr>
                <w:rFonts w:ascii="Calibri" w:hAnsi="Calibri"/>
                <w:color w:val="1A1A2E"/>
                <w:sz w:val="20"/>
              </w:rPr>
              <w:t>Large hospital chains with mixed requirements</w:t>
            </w:r>
          </w:p>
        </w:tc>
      </w:tr>
    </w:tbl>
    <w:p>
      <w:pPr>
        <w:spacing w:after="80"/>
      </w:pPr>
    </w:p>
    <w:p>
      <w:r>
        <w:br w:type="page"/>
      </w:r>
    </w:p>
    <w:p>
      <w:pPr>
        <w:pStyle w:val="Heading1"/>
        <w:spacing w:before="360" w:after="120"/>
        <w:jc w:val="left"/>
      </w:pPr>
      <w:r>
        <w:rPr>
          <w:rFonts w:ascii="Calibri" w:hAnsi="Calibri"/>
          <w:color w:val="005B96"/>
        </w:rPr>
        <w:t>3. Core Clinical &amp; Operational Modules</w:t>
      </w:r>
    </w:p>
    <w:p>
      <w:pPr>
        <w:spacing w:before="80" w:after="80"/>
        <w:pBdr>
          <w:bottom w:val="single" w:sz="6" w:space="1" w:color="0096C7"/>
        </w:pBdr>
      </w:pPr>
    </w:p>
    <w:p>
      <w:pPr>
        <w:spacing w:after="120"/>
        <w:jc w:val="both"/>
      </w:pPr>
      <w:r>
        <w:rPr>
          <w:rFonts w:ascii="Calibri" w:hAnsi="Calibri"/>
          <w:b w:val="0"/>
          <w:i w:val="0"/>
          <w:color w:val="1A1A2E"/>
          <w:sz w:val="22"/>
        </w:rPr>
        <w:t>HospitalOS comprises 15+ integrated modules that cover the complete hospital workflow. Each module is designed to function independently while sharing data seamlessly across the platform. Hospitals can enable or disable modules based on their requirements, ensuring a tailored fit for institutions of every size and specialty.</w:t>
      </w:r>
    </w:p>
    <w:p>
      <w:pPr>
        <w:pStyle w:val="Heading2"/>
        <w:spacing w:before="280" w:after="80"/>
        <w:jc w:val="left"/>
      </w:pPr>
      <w:r>
        <w:rPr>
          <w:rFonts w:ascii="Calibri" w:hAnsi="Calibri"/>
          <w:color w:val="005B96"/>
        </w:rPr>
        <w:t>3.1  Reception &amp; Patient Registration</w:t>
      </w:r>
    </w:p>
    <w:p>
      <w:pPr>
        <w:spacing w:after="80"/>
      </w:pPr>
      <w:r>
        <w:rPr>
          <w:rFonts w:ascii="Calibri" w:hAnsi="Calibri"/>
          <w:i/>
          <w:color w:val="0096C7"/>
          <w:sz w:val="20"/>
        </w:rPr>
        <w:t>The Digital Front Door of Your Hospital</w:t>
      </w:r>
    </w:p>
    <w:p>
      <w:pPr>
        <w:spacing w:after="120"/>
        <w:jc w:val="both"/>
      </w:pPr>
      <w:r>
        <w:rPr>
          <w:rFonts w:ascii="Calibri" w:hAnsi="Calibri"/>
          <w:b w:val="0"/>
          <w:i w:val="0"/>
          <w:color w:val="1A1A2E"/>
          <w:sz w:val="22"/>
        </w:rPr>
        <w:t>The Reception module serves as the first point of contact in the patient journey. It digitizes the entire registration process, replacing paper-based forms with an intuitive digital workflow that captures comprehensive patient information, generates unique health identifiers, manages appointment scheduling, and powers an intelligent queue management system for waiting areas.</w:t>
      </w:r>
    </w:p>
    <w:p>
      <w:pPr>
        <w:spacing w:after="40" w:before="120"/>
      </w:pPr>
      <w:r>
        <w:rPr>
          <w:rFonts w:ascii="Calibri" w:hAnsi="Calibri"/>
          <w:b/>
          <w:color w:val="005B96"/>
          <w:sz w:val="21"/>
        </w:rPr>
        <w:t>Patient Registration &amp; Identity</w:t>
      </w:r>
    </w:p>
    <w:p>
      <w:pPr>
        <w:pStyle w:val="ListBullet"/>
        <w:spacing w:after="60"/>
      </w:pPr>
      <w:r>
        <w:rPr>
          <w:rFonts w:ascii="Calibri" w:hAnsi="Calibri"/>
          <w:color w:val="1A1A2E"/>
          <w:sz w:val="21"/>
        </w:rPr>
        <w:t>Comprehensive patient registration with demographics, contact details, emergency contacts, blood group, allergies, and chronic conditions</w:t>
      </w:r>
    </w:p>
    <w:p>
      <w:pPr>
        <w:pStyle w:val="ListBullet"/>
        <w:spacing w:after="60"/>
      </w:pPr>
      <w:r>
        <w:rPr>
          <w:rFonts w:ascii="Calibri" w:hAnsi="Calibri"/>
          <w:color w:val="1A1A2E"/>
          <w:sz w:val="21"/>
        </w:rPr>
        <w:t>Aadhaar/national ID proof capture and verification for identity authentication</w:t>
      </w:r>
    </w:p>
    <w:p>
      <w:pPr>
        <w:pStyle w:val="ListBullet"/>
        <w:spacing w:after="60"/>
      </w:pPr>
      <w:r>
        <w:rPr>
          <w:rFonts w:ascii="Calibri" w:hAnsi="Calibri"/>
          <w:color w:val="1A1A2E"/>
          <w:sz w:val="21"/>
        </w:rPr>
        <w:t>Automatic generation of Unique Health ID (UHID) with configurable prefix per hospital</w:t>
      </w:r>
    </w:p>
    <w:p>
      <w:pPr>
        <w:pStyle w:val="ListBullet"/>
        <w:spacing w:after="60"/>
      </w:pPr>
      <w:r>
        <w:rPr>
          <w:rFonts w:ascii="Calibri" w:hAnsi="Calibri"/>
          <w:color w:val="1A1A2E"/>
          <w:sz w:val="21"/>
        </w:rPr>
        <w:t>Patient profile photo upload for visual identification at every touchpoint</w:t>
      </w:r>
    </w:p>
    <w:p>
      <w:pPr>
        <w:pStyle w:val="ListBullet"/>
        <w:spacing w:after="60"/>
      </w:pPr>
      <w:r>
        <w:rPr>
          <w:rFonts w:ascii="Calibri" w:hAnsi="Calibri"/>
          <w:color w:val="1A1A2E"/>
          <w:sz w:val="21"/>
        </w:rPr>
        <w:t>Intelligent duplicate patient detection using fuzzy matching algorithms to prevent record fragmentation</w:t>
      </w:r>
    </w:p>
    <w:p>
      <w:pPr>
        <w:pStyle w:val="ListBullet"/>
        <w:spacing w:after="60"/>
      </w:pPr>
      <w:r>
        <w:rPr>
          <w:rFonts w:ascii="Calibri" w:hAnsi="Calibri"/>
          <w:color w:val="1A1A2E"/>
          <w:sz w:val="21"/>
        </w:rPr>
        <w:t>Consent tracking and management for HIPAA/NABH regulatory compliance</w:t>
      </w:r>
    </w:p>
    <w:p>
      <w:pPr>
        <w:spacing w:after="40" w:before="120"/>
      </w:pPr>
      <w:r>
        <w:rPr>
          <w:rFonts w:ascii="Calibri" w:hAnsi="Calibri"/>
          <w:b/>
          <w:color w:val="005B96"/>
          <w:sz w:val="21"/>
        </w:rPr>
        <w:t>Queue Management &amp; Token System</w:t>
      </w:r>
    </w:p>
    <w:p>
      <w:pPr>
        <w:pStyle w:val="ListBullet"/>
        <w:spacing w:after="60"/>
      </w:pPr>
      <w:r>
        <w:rPr>
          <w:rFonts w:ascii="Calibri" w:hAnsi="Calibri"/>
          <w:color w:val="1A1A2E"/>
          <w:sz w:val="21"/>
        </w:rPr>
        <w:t>Real-time digital queue monitoring with live token number generation and tracking</w:t>
      </w:r>
    </w:p>
    <w:p>
      <w:pPr>
        <w:pStyle w:val="ListBullet"/>
        <w:spacing w:after="60"/>
      </w:pPr>
      <w:r>
        <w:rPr>
          <w:rFonts w:ascii="Calibri" w:hAnsi="Calibri"/>
          <w:color w:val="1A1A2E"/>
          <w:sz w:val="21"/>
        </w:rPr>
        <w:t>Full-screen token display mode designed for hospital waiting area TV screens</w:t>
      </w:r>
    </w:p>
    <w:p>
      <w:pPr>
        <w:pStyle w:val="ListBullet"/>
        <w:spacing w:after="60"/>
      </w:pPr>
      <w:r>
        <w:rPr>
          <w:rFonts w:ascii="Calibri" w:hAnsi="Calibri"/>
          <w:color w:val="1A1A2E"/>
          <w:sz w:val="21"/>
        </w:rPr>
        <w:t>Patient privacy masking on display boards — shows token numbers, not patient names</w:t>
      </w:r>
    </w:p>
    <w:p>
      <w:pPr>
        <w:pStyle w:val="ListBullet"/>
        <w:spacing w:after="60"/>
      </w:pPr>
      <w:r>
        <w:rPr>
          <w:rFonts w:ascii="Calibri" w:hAnsi="Calibri"/>
          <w:color w:val="1A1A2E"/>
          <w:sz w:val="21"/>
        </w:rPr>
        <w:t>Estimated wait time calculation based on current queue depth and doctor availability</w:t>
      </w:r>
    </w:p>
    <w:p>
      <w:pPr>
        <w:pStyle w:val="ListBullet"/>
        <w:spacing w:after="60"/>
      </w:pPr>
      <w:r>
        <w:rPr>
          <w:rFonts w:ascii="Calibri" w:hAnsi="Calibri"/>
          <w:color w:val="1A1A2E"/>
          <w:sz w:val="21"/>
        </w:rPr>
        <w:t>Patient position tracking with notification capability when their turn approaches</w:t>
      </w:r>
    </w:p>
    <w:p>
      <w:pPr>
        <w:spacing w:after="40" w:before="120"/>
      </w:pPr>
      <w:r>
        <w:rPr>
          <w:rFonts w:ascii="Calibri" w:hAnsi="Calibri"/>
          <w:b/>
          <w:color w:val="005B96"/>
          <w:sz w:val="21"/>
        </w:rPr>
        <w:t>Appointment Scheduling</w:t>
      </w:r>
    </w:p>
    <w:p>
      <w:pPr>
        <w:pStyle w:val="ListBullet"/>
        <w:spacing w:after="60"/>
      </w:pPr>
      <w:r>
        <w:rPr>
          <w:rFonts w:ascii="Calibri" w:hAnsi="Calibri"/>
          <w:color w:val="1A1A2E"/>
          <w:sz w:val="21"/>
        </w:rPr>
        <w:t>Doctor-wise appointment booking with real-time slot availability visualization</w:t>
      </w:r>
    </w:p>
    <w:p>
      <w:pPr>
        <w:pStyle w:val="ListBullet"/>
        <w:spacing w:after="60"/>
      </w:pPr>
      <w:r>
        <w:rPr>
          <w:rFonts w:ascii="Calibri" w:hAnsi="Calibri"/>
          <w:color w:val="1A1A2E"/>
          <w:sz w:val="21"/>
        </w:rPr>
        <w:t>Walk-in appointment support alongside pre-scheduled appointments</w:t>
      </w:r>
    </w:p>
    <w:p>
      <w:pPr>
        <w:pStyle w:val="ListBullet"/>
        <w:spacing w:after="60"/>
      </w:pPr>
      <w:r>
        <w:rPr>
          <w:rFonts w:ascii="Calibri" w:hAnsi="Calibri"/>
          <w:color w:val="1A1A2E"/>
          <w:sz w:val="21"/>
        </w:rPr>
        <w:t>Appointment confirmation via email with rescheduling and cancellation capabilities</w:t>
      </w:r>
    </w:p>
    <w:p>
      <w:pPr>
        <w:pStyle w:val="ListBullet"/>
        <w:spacing w:after="60"/>
      </w:pPr>
      <w:r>
        <w:rPr>
          <w:rFonts w:ascii="Calibri" w:hAnsi="Calibri"/>
          <w:color w:val="1A1A2E"/>
          <w:sz w:val="21"/>
        </w:rPr>
        <w:t>Doctor availability integration — automatically blocked during leave or non-working hours</w:t>
      </w:r>
    </w:p>
    <w:p>
      <w:pPr>
        <w:spacing w:after="40" w:before="120"/>
      </w:pPr>
      <w:r>
        <w:rPr>
          <w:rFonts w:ascii="Calibri" w:hAnsi="Calibri"/>
          <w:b/>
          <w:color w:val="005B96"/>
          <w:sz w:val="21"/>
        </w:rPr>
        <w:t>AI-Powered Triage Engine</w:t>
      </w:r>
    </w:p>
    <w:p>
      <w:pPr>
        <w:pStyle w:val="ListBullet"/>
        <w:spacing w:after="60"/>
      </w:pPr>
      <w:r>
        <w:rPr>
          <w:rFonts w:ascii="Calibri" w:hAnsi="Calibri"/>
          <w:color w:val="1A1A2E"/>
          <w:sz w:val="21"/>
        </w:rPr>
        <w:t>Intelligent patient intake powered by rule-based logic with AI fallback for complex cases</w:t>
      </w:r>
    </w:p>
    <w:p>
      <w:pPr>
        <w:pStyle w:val="ListBullet"/>
        <w:spacing w:after="60"/>
      </w:pPr>
      <w:r>
        <w:rPr>
          <w:rFonts w:ascii="Calibri" w:hAnsi="Calibri"/>
          <w:color w:val="1A1A2E"/>
          <w:sz w:val="21"/>
        </w:rPr>
        <w:t>Library of 24 clickable common symptoms plus custom symptom entry for rapid capture</w:t>
      </w:r>
    </w:p>
    <w:p>
      <w:pPr>
        <w:pStyle w:val="ListBullet"/>
        <w:spacing w:after="60"/>
      </w:pPr>
      <w:r>
        <w:rPr>
          <w:rFonts w:ascii="Calibri" w:hAnsi="Calibri"/>
          <w:color w:val="1A1A2E"/>
          <w:sz w:val="21"/>
        </w:rPr>
        <w:t>Severity classification (Mild / Moderate / Severe) with automatic priority assignment</w:t>
      </w:r>
    </w:p>
    <w:p>
      <w:pPr>
        <w:pStyle w:val="ListBullet"/>
        <w:spacing w:after="60"/>
      </w:pPr>
      <w:r>
        <w:rPr>
          <w:rFonts w:ascii="Calibri" w:hAnsi="Calibri"/>
          <w:color w:val="1A1A2E"/>
          <w:sz w:val="21"/>
        </w:rPr>
        <w:t>Optional vital signs capture (Blood Pressure, Heart Rate, Temperature, SpO2) at intake</w:t>
      </w:r>
    </w:p>
    <w:p>
      <w:pPr>
        <w:pStyle w:val="ListBullet"/>
        <w:spacing w:after="60"/>
      </w:pPr>
      <w:r>
        <w:rPr>
          <w:rFonts w:ascii="Calibri" w:hAnsi="Calibri"/>
          <w:color w:val="1A1A2E"/>
          <w:sz w:val="21"/>
        </w:rPr>
        <w:t>Red-flag symptom detection with automatic escalation alerts to clinical staff</w:t>
      </w:r>
    </w:p>
    <w:p>
      <w:pPr>
        <w:pStyle w:val="ListBullet"/>
        <w:spacing w:after="60"/>
      </w:pPr>
      <w:r>
        <w:rPr>
          <w:rFonts w:ascii="Calibri" w:hAnsi="Calibri"/>
          <w:color w:val="1A1A2E"/>
          <w:sz w:val="21"/>
        </w:rPr>
        <w:t>Auto-generated SOAP clinical summary with recommended tests and risk alerts</w:t>
      </w:r>
    </w:p>
    <w:p>
      <w:pPr>
        <w:pStyle w:val="ListBullet"/>
        <w:spacing w:after="60"/>
      </w:pPr>
      <w:r>
        <w:rPr>
          <w:rFonts w:ascii="Calibri" w:hAnsi="Calibri"/>
          <w:color w:val="1A1A2E"/>
          <w:sz w:val="21"/>
        </w:rPr>
        <w:t>Complete triage audit trail with all assessments saved to database for compliance</w:t>
      </w:r>
    </w:p>
    <w:p>
      <w:pPr>
        <w:spacing w:before="80" w:after="80"/>
        <w:pBdr>
          <w:bottom w:val="single" w:sz="6" w:space="1" w:color="0096C7"/>
        </w:pBdr>
      </w:pPr>
    </w:p>
    <w:p>
      <w:pPr>
        <w:pStyle w:val="Heading2"/>
        <w:spacing w:before="280" w:after="80"/>
        <w:jc w:val="left"/>
      </w:pPr>
      <w:r>
        <w:rPr>
          <w:rFonts w:ascii="Calibri" w:hAnsi="Calibri"/>
          <w:color w:val="005B96"/>
        </w:rPr>
        <w:t>3.2  Doctor Dashboard &amp; Clinical Management</w:t>
      </w:r>
    </w:p>
    <w:p>
      <w:pPr>
        <w:spacing w:after="80"/>
      </w:pPr>
      <w:r>
        <w:rPr>
          <w:rFonts w:ascii="Calibri" w:hAnsi="Calibri"/>
          <w:i/>
          <w:color w:val="0096C7"/>
          <w:sz w:val="20"/>
        </w:rPr>
        <w:t>The Physician’s Command Center</w:t>
      </w:r>
    </w:p>
    <w:p>
      <w:pPr>
        <w:spacing w:after="120"/>
        <w:jc w:val="both"/>
      </w:pPr>
      <w:r>
        <w:rPr>
          <w:rFonts w:ascii="Calibri" w:hAnsi="Calibri"/>
          <w:b w:val="0"/>
          <w:i w:val="0"/>
          <w:color w:val="1A1A2E"/>
          <w:sz w:val="22"/>
        </w:rPr>
        <w:t>The Doctor module provides physicians with a comprehensive clinical workspace that brings together patient information, appointment schedules, clinical documentation tools, and care coordination features into a single, intuitive dashboard. Designed with physician efficiency in mind, it minimizes clicks and maximizes clinical productivity.</w:t>
      </w:r>
    </w:p>
    <w:p>
      <w:pPr>
        <w:spacing w:after="40" w:before="120"/>
      </w:pPr>
      <w:r>
        <w:rPr>
          <w:rFonts w:ascii="Calibri" w:hAnsi="Calibri"/>
          <w:b/>
          <w:color w:val="005B96"/>
          <w:sz w:val="21"/>
        </w:rPr>
        <w:t>Clinical Dashboard &amp; Patient Management</w:t>
      </w:r>
    </w:p>
    <w:p>
      <w:pPr>
        <w:pStyle w:val="ListBullet"/>
        <w:spacing w:after="60"/>
      </w:pPr>
      <w:r>
        <w:rPr>
          <w:rFonts w:ascii="Calibri" w:hAnsi="Calibri"/>
          <w:color w:val="1A1A2E"/>
          <w:sz w:val="21"/>
        </w:rPr>
        <w:t>Real-time patient list filtered by doctor’s department with appointment status indicators</w:t>
      </w:r>
    </w:p>
    <w:p>
      <w:pPr>
        <w:pStyle w:val="ListBullet"/>
        <w:spacing w:after="60"/>
      </w:pPr>
      <w:r>
        <w:rPr>
          <w:rFonts w:ascii="Calibri" w:hAnsi="Calibri"/>
          <w:color w:val="1A1A2E"/>
          <w:sz w:val="21"/>
        </w:rPr>
        <w:t>Unified patient view showing demographics, clinical history, lab results, and vitals at a glance</w:t>
      </w:r>
    </w:p>
    <w:p>
      <w:pPr>
        <w:pStyle w:val="ListBullet"/>
        <w:spacing w:after="60"/>
      </w:pPr>
      <w:r>
        <w:rPr>
          <w:rFonts w:ascii="Calibri" w:hAnsi="Calibri"/>
          <w:color w:val="1A1A2E"/>
          <w:sz w:val="21"/>
        </w:rPr>
        <w:t>Appointment schedule view with daily/weekly calendar and queue position tracking</w:t>
      </w:r>
    </w:p>
    <w:p>
      <w:pPr>
        <w:spacing w:after="40" w:before="120"/>
      </w:pPr>
      <w:r>
        <w:rPr>
          <w:rFonts w:ascii="Calibri" w:hAnsi="Calibri"/>
          <w:b/>
          <w:color w:val="005B96"/>
          <w:sz w:val="21"/>
        </w:rPr>
        <w:t>Electronic Health Record (EHR)</w:t>
      </w:r>
    </w:p>
    <w:p>
      <w:pPr>
        <w:pStyle w:val="ListBullet"/>
        <w:spacing w:after="60"/>
      </w:pPr>
      <w:r>
        <w:rPr>
          <w:rFonts w:ascii="Calibri" w:hAnsi="Calibri"/>
          <w:color w:val="1A1A2E"/>
          <w:sz w:val="21"/>
        </w:rPr>
        <w:t>Structured diagnosis entry with clinical coding support</w:t>
      </w:r>
    </w:p>
    <w:p>
      <w:pPr>
        <w:pStyle w:val="ListBullet"/>
        <w:spacing w:after="60"/>
      </w:pPr>
      <w:r>
        <w:rPr>
          <w:rFonts w:ascii="Calibri" w:hAnsi="Calibri"/>
          <w:color w:val="1A1A2E"/>
          <w:sz w:val="21"/>
        </w:rPr>
        <w:t>Doctor’s clinical notes with free-text and template-based documentation</w:t>
      </w:r>
    </w:p>
    <w:p>
      <w:pPr>
        <w:pStyle w:val="ListBullet"/>
        <w:spacing w:after="60"/>
      </w:pPr>
      <w:r>
        <w:rPr>
          <w:rFonts w:ascii="Calibri" w:hAnsi="Calibri"/>
          <w:color w:val="1A1A2E"/>
          <w:sz w:val="21"/>
        </w:rPr>
        <w:t>Treatment plan documentation with medication, procedures, and care instructions</w:t>
      </w:r>
    </w:p>
    <w:p>
      <w:pPr>
        <w:pStyle w:val="ListBullet"/>
        <w:spacing w:after="60"/>
      </w:pPr>
      <w:r>
        <w:rPr>
          <w:rFonts w:ascii="Calibri" w:hAnsi="Calibri"/>
          <w:color w:val="1A1A2E"/>
          <w:sz w:val="21"/>
        </w:rPr>
        <w:t>Follow-up scheduling with automated reminder generation for patients</w:t>
      </w:r>
    </w:p>
    <w:p>
      <w:pPr>
        <w:pStyle w:val="ListBullet"/>
        <w:spacing w:after="60"/>
      </w:pPr>
      <w:r>
        <w:rPr>
          <w:rFonts w:ascii="Calibri" w:hAnsi="Calibri"/>
          <w:color w:val="1A1A2E"/>
          <w:sz w:val="21"/>
        </w:rPr>
        <w:t>Complete clinical history timeline showing all encounters, diagnoses, and outcomes</w:t>
      </w:r>
    </w:p>
    <w:p>
      <w:pPr>
        <w:spacing w:after="40" w:before="120"/>
      </w:pPr>
      <w:r>
        <w:rPr>
          <w:rFonts w:ascii="Calibri" w:hAnsi="Calibri"/>
          <w:b/>
          <w:color w:val="005B96"/>
          <w:sz w:val="21"/>
        </w:rPr>
        <w:t>Lab &amp; Pharmacy Integration</w:t>
      </w:r>
    </w:p>
    <w:p>
      <w:pPr>
        <w:pStyle w:val="ListBullet"/>
        <w:spacing w:after="60"/>
      </w:pPr>
      <w:r>
        <w:rPr>
          <w:rFonts w:ascii="Calibri" w:hAnsi="Calibri"/>
          <w:color w:val="1A1A2E"/>
          <w:sz w:val="21"/>
        </w:rPr>
        <w:t>Direct lab test ordering from the patient’s chart with test selection from lab inventory</w:t>
      </w:r>
    </w:p>
    <w:p>
      <w:pPr>
        <w:pStyle w:val="ListBullet"/>
        <w:spacing w:after="60"/>
      </w:pPr>
      <w:r>
        <w:rPr>
          <w:rFonts w:ascii="Calibri" w:hAnsi="Calibri"/>
          <w:color w:val="1A1A2E"/>
          <w:sz w:val="21"/>
        </w:rPr>
        <w:t>Real-time lab result viewing with normal range indicators and critical value alerts</w:t>
      </w:r>
    </w:p>
    <w:p>
      <w:pPr>
        <w:pStyle w:val="ListBullet"/>
        <w:spacing w:after="60"/>
      </w:pPr>
      <w:r>
        <w:rPr>
          <w:rFonts w:ascii="Calibri" w:hAnsi="Calibri"/>
          <w:color w:val="1A1A2E"/>
          <w:sz w:val="21"/>
        </w:rPr>
        <w:t>Technician remarks visibility for additional clinical context on test results</w:t>
      </w:r>
    </w:p>
    <w:p>
      <w:pPr>
        <w:pStyle w:val="ListBullet"/>
        <w:spacing w:after="60"/>
      </w:pPr>
      <w:r>
        <w:rPr>
          <w:rFonts w:ascii="Calibri" w:hAnsi="Calibri"/>
          <w:color w:val="1A1A2E"/>
          <w:sz w:val="21"/>
        </w:rPr>
        <w:t>Prescription creation with medicine selection from pharmacy inventory</w:t>
      </w:r>
    </w:p>
    <w:p>
      <w:pPr>
        <w:pStyle w:val="ListBullet"/>
        <w:spacing w:after="60"/>
      </w:pPr>
      <w:r>
        <w:rPr>
          <w:rFonts w:ascii="Calibri" w:hAnsi="Calibri"/>
          <w:color w:val="1A1A2E"/>
          <w:sz w:val="21"/>
        </w:rPr>
        <w:t>Dosage, quantity, and duration specification with prescription template support for common conditions</w:t>
      </w:r>
    </w:p>
    <w:p>
      <w:pPr>
        <w:spacing w:after="40" w:before="120"/>
      </w:pPr>
      <w:r>
        <w:rPr>
          <w:rFonts w:ascii="Calibri" w:hAnsi="Calibri"/>
          <w:b/>
          <w:color w:val="005B96"/>
          <w:sz w:val="21"/>
        </w:rPr>
        <w:t>Schedule &amp; Availability Management</w:t>
      </w:r>
    </w:p>
    <w:p>
      <w:pPr>
        <w:pStyle w:val="ListBullet"/>
        <w:spacing w:after="60"/>
      </w:pPr>
      <w:r>
        <w:rPr>
          <w:rFonts w:ascii="Calibri" w:hAnsi="Calibri"/>
          <w:color w:val="1A1A2E"/>
          <w:sz w:val="21"/>
        </w:rPr>
        <w:t>Personal appointment schedule management with working hours configuration</w:t>
      </w:r>
    </w:p>
    <w:p>
      <w:pPr>
        <w:pStyle w:val="ListBullet"/>
        <w:spacing w:after="60"/>
      </w:pPr>
      <w:r>
        <w:rPr>
          <w:rFonts w:ascii="Calibri" w:hAnsi="Calibri"/>
          <w:color w:val="1A1A2E"/>
          <w:sz w:val="21"/>
        </w:rPr>
        <w:t>Configurable slot duration, buffer time between appointments, and consultation fees</w:t>
      </w:r>
    </w:p>
    <w:p>
      <w:pPr>
        <w:pStyle w:val="ListBullet"/>
        <w:spacing w:after="60"/>
      </w:pPr>
      <w:r>
        <w:rPr>
          <w:rFonts w:ascii="Calibri" w:hAnsi="Calibri"/>
          <w:color w:val="1A1A2E"/>
          <w:sz w:val="21"/>
        </w:rPr>
        <w:t>Leave integration with HR module — automatically blocks appointment slots during leave</w:t>
      </w:r>
    </w:p>
    <w:p>
      <w:pPr>
        <w:spacing w:before="80" w:after="80"/>
        <w:pBdr>
          <w:bottom w:val="single" w:sz="6" w:space="1" w:color="0096C7"/>
        </w:pBdr>
      </w:pPr>
    </w:p>
    <w:p>
      <w:r>
        <w:br w:type="page"/>
      </w:r>
    </w:p>
    <w:p>
      <w:pPr>
        <w:pStyle w:val="Heading2"/>
        <w:spacing w:before="280" w:after="80"/>
        <w:jc w:val="left"/>
      </w:pPr>
      <w:r>
        <w:rPr>
          <w:rFonts w:ascii="Calibri" w:hAnsi="Calibri"/>
          <w:color w:val="005B96"/>
        </w:rPr>
        <w:t>3.3  Laboratory Management</w:t>
      </w:r>
    </w:p>
    <w:p>
      <w:pPr>
        <w:spacing w:after="80"/>
      </w:pPr>
      <w:r>
        <w:rPr>
          <w:rFonts w:ascii="Calibri" w:hAnsi="Calibri"/>
          <w:i/>
          <w:color w:val="0096C7"/>
          <w:sz w:val="20"/>
        </w:rPr>
        <w:t>From Sample Collection to AI-Interpreted Results</w:t>
      </w:r>
    </w:p>
    <w:p>
      <w:pPr>
        <w:spacing w:after="120"/>
        <w:jc w:val="both"/>
      </w:pPr>
      <w:r>
        <w:rPr>
          <w:rFonts w:ascii="Calibri" w:hAnsi="Calibri"/>
          <w:b w:val="0"/>
          <w:i w:val="0"/>
          <w:color w:val="1A1A2E"/>
          <w:sz w:val="22"/>
        </w:rPr>
        <w:t>The Laboratory module provides end-to-end management of the diagnostic workflow, from sample collection and barcode tracking through test execution, result entry, and AI-powered interpretation. It ensures accuracy, traceability, and rapid turnaround for all diagnostic services.</w:t>
      </w:r>
    </w:p>
    <w:p>
      <w:pPr>
        <w:spacing w:after="40" w:before="120"/>
      </w:pPr>
      <w:r>
        <w:rPr>
          <w:rFonts w:ascii="Calibri" w:hAnsi="Calibri"/>
          <w:b/>
          <w:color w:val="005B96"/>
          <w:sz w:val="21"/>
        </w:rPr>
        <w:t>Sample Tracking &amp; Worklist</w:t>
      </w:r>
    </w:p>
    <w:p>
      <w:pPr>
        <w:pStyle w:val="ListBullet"/>
        <w:spacing w:after="60"/>
      </w:pPr>
      <w:r>
        <w:rPr>
          <w:rFonts w:ascii="Calibri" w:hAnsi="Calibri"/>
          <w:color w:val="1A1A2E"/>
          <w:sz w:val="21"/>
        </w:rPr>
        <w:t>Barcode-based sample tracking from collection through processing to result delivery</w:t>
      </w:r>
    </w:p>
    <w:p>
      <w:pPr>
        <w:pStyle w:val="ListBullet"/>
        <w:spacing w:after="60"/>
      </w:pPr>
      <w:r>
        <w:rPr>
          <w:rFonts w:ascii="Calibri" w:hAnsi="Calibri"/>
          <w:color w:val="1A1A2E"/>
          <w:sz w:val="21"/>
        </w:rPr>
        <w:t>Technician worklist view showing pending tests with priority ordering</w:t>
      </w:r>
    </w:p>
    <w:p>
      <w:pPr>
        <w:pStyle w:val="ListBullet"/>
        <w:spacing w:after="60"/>
      </w:pPr>
      <w:r>
        <w:rPr>
          <w:rFonts w:ascii="Calibri" w:hAnsi="Calibri"/>
          <w:color w:val="1A1A2E"/>
          <w:sz w:val="21"/>
        </w:rPr>
        <w:t>Sample status lifecycle management (Pending → Processing → Completed)</w:t>
      </w:r>
    </w:p>
    <w:p>
      <w:pPr>
        <w:pStyle w:val="ListBullet"/>
        <w:spacing w:after="60"/>
      </w:pPr>
      <w:r>
        <w:rPr>
          <w:rFonts w:ascii="Calibri" w:hAnsi="Calibri"/>
          <w:color w:val="1A1A2E"/>
          <w:sz w:val="21"/>
        </w:rPr>
        <w:t>Sample movement audit trail for complete chain-of-custody documentation</w:t>
      </w:r>
    </w:p>
    <w:p>
      <w:pPr>
        <w:spacing w:after="40" w:before="120"/>
      </w:pPr>
      <w:r>
        <w:rPr>
          <w:rFonts w:ascii="Calibri" w:hAnsi="Calibri"/>
          <w:b/>
          <w:color w:val="005B96"/>
          <w:sz w:val="21"/>
        </w:rPr>
        <w:t>Test Management &amp; Results</w:t>
      </w:r>
    </w:p>
    <w:p>
      <w:pPr>
        <w:pStyle w:val="ListBullet"/>
        <w:spacing w:after="60"/>
      </w:pPr>
      <w:r>
        <w:rPr>
          <w:rFonts w:ascii="Calibri" w:hAnsi="Calibri"/>
          <w:color w:val="1A1A2E"/>
          <w:sz w:val="21"/>
        </w:rPr>
        <w:t>Result value entry with automatic normal range comparison and color-coded indicators</w:t>
      </w:r>
    </w:p>
    <w:p>
      <w:pPr>
        <w:pStyle w:val="ListBullet"/>
        <w:spacing w:after="60"/>
      </w:pPr>
      <w:r>
        <w:rPr>
          <w:rFonts w:ascii="Calibri" w:hAnsi="Calibri"/>
          <w:color w:val="1A1A2E"/>
          <w:sz w:val="21"/>
        </w:rPr>
        <w:t>Green (Normal), Amber (Borderline), and Red (Abnormal) visual status indicators</w:t>
      </w:r>
    </w:p>
    <w:p>
      <w:pPr>
        <w:pStyle w:val="ListBullet"/>
        <w:spacing w:after="60"/>
      </w:pPr>
      <w:r>
        <w:rPr>
          <w:rFonts w:ascii="Calibri" w:hAnsi="Calibri"/>
          <w:color w:val="1A1A2E"/>
          <w:sz w:val="21"/>
        </w:rPr>
        <w:t>Visual range bars showing where patient results fall within the normal range spectrum</w:t>
      </w:r>
    </w:p>
    <w:p>
      <w:pPr>
        <w:pStyle w:val="ListBullet"/>
        <w:spacing w:after="60"/>
      </w:pPr>
      <w:r>
        <w:rPr>
          <w:rFonts w:ascii="Calibri" w:hAnsi="Calibri"/>
          <w:color w:val="1A1A2E"/>
          <w:sz w:val="21"/>
        </w:rPr>
        <w:t>Critical value flagging with automatic notification to ordering physician</w:t>
      </w:r>
    </w:p>
    <w:p>
      <w:pPr>
        <w:pStyle w:val="ListBullet"/>
        <w:spacing w:after="60"/>
      </w:pPr>
      <w:r>
        <w:rPr>
          <w:rFonts w:ascii="Calibri" w:hAnsi="Calibri"/>
          <w:color w:val="1A1A2E"/>
          <w:sz w:val="21"/>
        </w:rPr>
        <w:t>Technician remarks and notes for additional context on test results</w:t>
      </w:r>
    </w:p>
    <w:p>
      <w:pPr>
        <w:pStyle w:val="ListBullet"/>
        <w:spacing w:after="60"/>
      </w:pPr>
      <w:r>
        <w:rPr>
          <w:rFonts w:ascii="Calibri" w:hAnsi="Calibri"/>
          <w:color w:val="1A1A2E"/>
          <w:sz w:val="21"/>
        </w:rPr>
        <w:t>Result modification history for compliance and audit requirements</w:t>
      </w:r>
    </w:p>
    <w:p>
      <w:pPr>
        <w:spacing w:after="40" w:before="120"/>
      </w:pPr>
      <w:r>
        <w:rPr>
          <w:rFonts w:ascii="Calibri" w:hAnsi="Calibri"/>
          <w:b/>
          <w:color w:val="005B96"/>
          <w:sz w:val="21"/>
        </w:rPr>
        <w:t>AI-Powered Lab Intelligence</w:t>
      </w:r>
    </w:p>
    <w:p>
      <w:pPr>
        <w:pStyle w:val="ListBullet"/>
        <w:spacing w:after="60"/>
      </w:pPr>
      <w:r>
        <w:rPr>
          <w:rFonts w:ascii="Calibri" w:hAnsi="Calibri"/>
          <w:color w:val="1A1A2E"/>
          <w:sz w:val="21"/>
        </w:rPr>
        <w:t>AI-generated plain English interpretation of lab results for patient comprehension</w:t>
      </w:r>
    </w:p>
    <w:p>
      <w:pPr>
        <w:pStyle w:val="ListBullet"/>
        <w:spacing w:after="60"/>
      </w:pPr>
      <w:r>
        <w:rPr>
          <w:rFonts w:ascii="Calibri" w:hAnsi="Calibri"/>
          <w:color w:val="1A1A2E"/>
          <w:sz w:val="21"/>
        </w:rPr>
        <w:t>Historical result comparison with automated trend analysis</w:t>
      </w:r>
    </w:p>
    <w:p>
      <w:pPr>
        <w:pStyle w:val="ListBullet"/>
        <w:spacing w:after="60"/>
      </w:pPr>
      <w:r>
        <w:rPr>
          <w:rFonts w:ascii="Calibri" w:hAnsi="Calibri"/>
          <w:color w:val="1A1A2E"/>
          <w:sz w:val="21"/>
        </w:rPr>
        <w:t>Anomaly detection across multiple test parameters</w:t>
      </w:r>
    </w:p>
    <w:p>
      <w:pPr>
        <w:spacing w:after="40" w:before="120"/>
      </w:pPr>
      <w:r>
        <w:rPr>
          <w:rFonts w:ascii="Calibri" w:hAnsi="Calibri"/>
          <w:b/>
          <w:color w:val="005B96"/>
          <w:sz w:val="21"/>
        </w:rPr>
        <w:t>Lab Inventory &amp; Reagent Management</w:t>
      </w:r>
    </w:p>
    <w:p>
      <w:pPr>
        <w:pStyle w:val="ListBullet"/>
        <w:spacing w:after="60"/>
      </w:pPr>
      <w:r>
        <w:rPr>
          <w:rFonts w:ascii="Calibri" w:hAnsi="Calibri"/>
          <w:color w:val="1A1A2E"/>
          <w:sz w:val="21"/>
        </w:rPr>
        <w:t>Master test catalog with pricing, categories, sample types, and unit specifications</w:t>
      </w:r>
    </w:p>
    <w:p>
      <w:pPr>
        <w:pStyle w:val="ListBullet"/>
        <w:spacing w:after="60"/>
      </w:pPr>
      <w:r>
        <w:rPr>
          <w:rFonts w:ascii="Calibri" w:hAnsi="Calibri"/>
          <w:color w:val="1A1A2E"/>
          <w:sz w:val="21"/>
        </w:rPr>
        <w:t>Normal range definitions per test for automated result interpretation</w:t>
      </w:r>
    </w:p>
    <w:p>
      <w:pPr>
        <w:pStyle w:val="ListBullet"/>
        <w:spacing w:after="60"/>
      </w:pPr>
      <w:r>
        <w:rPr>
          <w:rFonts w:ascii="Calibri" w:hAnsi="Calibri"/>
          <w:color w:val="1A1A2E"/>
          <w:sz w:val="21"/>
        </w:rPr>
        <w:t>Reagent inventory tracking with usage monitoring and reorder alerts</w:t>
      </w:r>
    </w:p>
    <w:p>
      <w:pPr>
        <w:spacing w:before="80" w:after="80"/>
        <w:pBdr>
          <w:bottom w:val="single" w:sz="6" w:space="1" w:color="0096C7"/>
        </w:pBdr>
      </w:pPr>
    </w:p>
    <w:p>
      <w:pPr>
        <w:pStyle w:val="Heading2"/>
        <w:spacing w:before="280" w:after="80"/>
        <w:jc w:val="left"/>
      </w:pPr>
      <w:r>
        <w:rPr>
          <w:rFonts w:ascii="Calibri" w:hAnsi="Calibri"/>
          <w:color w:val="005B96"/>
        </w:rPr>
        <w:t>3.4  Pharmacy &amp; Medicine Management</w:t>
      </w:r>
    </w:p>
    <w:p>
      <w:pPr>
        <w:spacing w:after="80"/>
      </w:pPr>
      <w:r>
        <w:rPr>
          <w:rFonts w:ascii="Calibri" w:hAnsi="Calibri"/>
          <w:i/>
          <w:color w:val="0096C7"/>
          <w:sz w:val="20"/>
        </w:rPr>
        <w:t>Complete Pharmaceutical Operations Control</w:t>
      </w:r>
    </w:p>
    <w:p>
      <w:pPr>
        <w:spacing w:after="120"/>
        <w:jc w:val="both"/>
      </w:pPr>
      <w:r>
        <w:rPr>
          <w:rFonts w:ascii="Calibri" w:hAnsi="Calibri"/>
          <w:b w:val="0"/>
          <w:i w:val="0"/>
          <w:color w:val="1A1A2E"/>
          <w:sz w:val="22"/>
        </w:rPr>
        <w:t>The Pharmacy module manages the entire medication lifecycle from procurement to patient dispensing. It provides robust inventory control with batch tracking, expiry management, automated reorder alerts, and seamless integration with the clinical prescribing workflow.</w:t>
      </w:r>
    </w:p>
    <w:p>
      <w:pPr>
        <w:spacing w:after="40" w:before="120"/>
      </w:pPr>
      <w:r>
        <w:rPr>
          <w:rFonts w:ascii="Calibri" w:hAnsi="Calibri"/>
          <w:b/>
          <w:color w:val="005B96"/>
          <w:sz w:val="21"/>
        </w:rPr>
        <w:t>Dispensing &amp; Order Management</w:t>
      </w:r>
    </w:p>
    <w:p>
      <w:pPr>
        <w:pStyle w:val="ListBullet"/>
        <w:spacing w:after="60"/>
      </w:pPr>
      <w:r>
        <w:rPr>
          <w:rFonts w:ascii="Calibri" w:hAnsi="Calibri"/>
          <w:color w:val="1A1A2E"/>
          <w:sz w:val="21"/>
        </w:rPr>
        <w:t>Real-time medicine order queue showing doctor-prescribed medications</w:t>
      </w:r>
    </w:p>
    <w:p>
      <w:pPr>
        <w:pStyle w:val="ListBullet"/>
        <w:spacing w:after="60"/>
      </w:pPr>
      <w:r>
        <w:rPr>
          <w:rFonts w:ascii="Calibri" w:hAnsi="Calibri"/>
          <w:color w:val="1A1A2E"/>
          <w:sz w:val="21"/>
        </w:rPr>
        <w:t>Stock availability check with In Stock / Low Stock / Out of Stock status indicators</w:t>
      </w:r>
    </w:p>
    <w:p>
      <w:pPr>
        <w:pStyle w:val="ListBullet"/>
        <w:spacing w:after="60"/>
      </w:pPr>
      <w:r>
        <w:rPr>
          <w:rFonts w:ascii="Calibri" w:hAnsi="Calibri"/>
          <w:color w:val="1A1A2E"/>
          <w:sz w:val="21"/>
        </w:rPr>
        <w:t>Batch-aware dispensing with FIFO (First In, First Out) logic for oldest batch priority</w:t>
      </w:r>
    </w:p>
    <w:p>
      <w:pPr>
        <w:pStyle w:val="ListBullet"/>
        <w:spacing w:after="60"/>
      </w:pPr>
      <w:r>
        <w:rPr>
          <w:rFonts w:ascii="Calibri" w:hAnsi="Calibri"/>
          <w:color w:val="1A1A2E"/>
          <w:sz w:val="21"/>
        </w:rPr>
        <w:t>Quantity verification and patient handoff confirmation workflow</w:t>
      </w:r>
    </w:p>
    <w:p>
      <w:pPr>
        <w:spacing w:after="40" w:before="120"/>
      </w:pPr>
      <w:r>
        <w:rPr>
          <w:rFonts w:ascii="Calibri" w:hAnsi="Calibri"/>
          <w:b/>
          <w:color w:val="005B96"/>
          <w:sz w:val="21"/>
        </w:rPr>
        <w:t>Inventory &amp; Batch Control</w:t>
      </w:r>
    </w:p>
    <w:p>
      <w:pPr>
        <w:pStyle w:val="ListBullet"/>
        <w:spacing w:after="60"/>
      </w:pPr>
      <w:r>
        <w:rPr>
          <w:rFonts w:ascii="Calibri" w:hAnsi="Calibri"/>
          <w:color w:val="1A1A2E"/>
          <w:sz w:val="21"/>
        </w:rPr>
        <w:t>Complete medicine master catalog with brand name, generic name, category, and manufacturer</w:t>
      </w:r>
    </w:p>
    <w:p>
      <w:pPr>
        <w:pStyle w:val="ListBullet"/>
        <w:spacing w:after="60"/>
      </w:pPr>
      <w:r>
        <w:rPr>
          <w:rFonts w:ascii="Calibri" w:hAnsi="Calibri"/>
          <w:color w:val="1A1A2E"/>
          <w:sz w:val="21"/>
        </w:rPr>
        <w:t>Batch-level inventory tracking with batch number, expiry date, and purchase date</w:t>
      </w:r>
    </w:p>
    <w:p>
      <w:pPr>
        <w:pStyle w:val="ListBullet"/>
        <w:spacing w:after="60"/>
      </w:pPr>
      <w:r>
        <w:rPr>
          <w:rFonts w:ascii="Calibri" w:hAnsi="Calibri"/>
          <w:color w:val="1A1A2E"/>
          <w:sz w:val="21"/>
        </w:rPr>
        <w:t>Rack location management for physical warehouse organization</w:t>
      </w:r>
    </w:p>
    <w:p>
      <w:pPr>
        <w:pStyle w:val="ListBullet"/>
        <w:spacing w:after="60"/>
      </w:pPr>
      <w:r>
        <w:rPr>
          <w:rFonts w:ascii="Calibri" w:hAnsi="Calibri"/>
          <w:color w:val="1A1A2E"/>
          <w:sz w:val="21"/>
        </w:rPr>
        <w:t>Min/Max threshold configuration for automated reorder point alerts</w:t>
      </w:r>
    </w:p>
    <w:p>
      <w:pPr>
        <w:pStyle w:val="ListBullet"/>
        <w:spacing w:after="60"/>
      </w:pPr>
      <w:r>
        <w:rPr>
          <w:rFonts w:ascii="Calibri" w:hAnsi="Calibri"/>
          <w:color w:val="1A1A2E"/>
          <w:sz w:val="21"/>
        </w:rPr>
        <w:t>30/60/90-day expiry alerts with automated notifications to pharmacy staff</w:t>
      </w:r>
    </w:p>
    <w:p>
      <w:pPr>
        <w:spacing w:after="40" w:before="120"/>
      </w:pPr>
      <w:r>
        <w:rPr>
          <w:rFonts w:ascii="Calibri" w:hAnsi="Calibri"/>
          <w:b/>
          <w:color w:val="005B96"/>
          <w:sz w:val="21"/>
        </w:rPr>
        <w:t>Procurement &amp; Supply Chain</w:t>
      </w:r>
    </w:p>
    <w:p>
      <w:pPr>
        <w:pStyle w:val="ListBullet"/>
        <w:spacing w:after="60"/>
      </w:pPr>
      <w:r>
        <w:rPr>
          <w:rFonts w:ascii="Calibri" w:hAnsi="Calibri"/>
          <w:color w:val="1A1A2E"/>
          <w:sz w:val="21"/>
        </w:rPr>
        <w:t>Supplier master data management with contact and payment terms</w:t>
      </w:r>
    </w:p>
    <w:p>
      <w:pPr>
        <w:pStyle w:val="ListBullet"/>
        <w:spacing w:after="60"/>
      </w:pPr>
      <w:r>
        <w:rPr>
          <w:rFonts w:ascii="Calibri" w:hAnsi="Calibri"/>
          <w:color w:val="1A1A2E"/>
          <w:sz w:val="21"/>
        </w:rPr>
        <w:t>Purchase order creation, tracking, and receipt processing</w:t>
      </w:r>
    </w:p>
    <w:p>
      <w:pPr>
        <w:pStyle w:val="ListBullet"/>
        <w:spacing w:after="60"/>
      </w:pPr>
      <w:r>
        <w:rPr>
          <w:rFonts w:ascii="Calibri" w:hAnsi="Calibri"/>
          <w:color w:val="1A1A2E"/>
          <w:sz w:val="21"/>
        </w:rPr>
        <w:t>Goods Receipt Note (GRN) processing with automatic stock updates</w:t>
      </w:r>
    </w:p>
    <w:p>
      <w:pPr>
        <w:pStyle w:val="ListBullet"/>
        <w:spacing w:after="60"/>
      </w:pPr>
      <w:r>
        <w:rPr>
          <w:rFonts w:ascii="Calibri" w:hAnsi="Calibri"/>
          <w:color w:val="1A1A2E"/>
          <w:sz w:val="21"/>
        </w:rPr>
        <w:t>Damaged and expired medicine return tracking with supplier credit management</w:t>
      </w:r>
    </w:p>
    <w:p>
      <w:pPr>
        <w:spacing w:after="40" w:before="120"/>
      </w:pPr>
      <w:r>
        <w:rPr>
          <w:rFonts w:ascii="Calibri" w:hAnsi="Calibri"/>
          <w:b/>
          <w:color w:val="005B96"/>
          <w:sz w:val="21"/>
        </w:rPr>
        <w:t>Pharmacy Billing &amp; Reporting</w:t>
      </w:r>
    </w:p>
    <w:p>
      <w:pPr>
        <w:pStyle w:val="ListBullet"/>
        <w:spacing w:after="60"/>
      </w:pPr>
      <w:r>
        <w:rPr>
          <w:rFonts w:ascii="Calibri" w:hAnsi="Calibri"/>
          <w:color w:val="1A1A2E"/>
          <w:sz w:val="21"/>
        </w:rPr>
        <w:t>Patient charge generation with quantity-based billing and unit price calculation</w:t>
      </w:r>
    </w:p>
    <w:p>
      <w:pPr>
        <w:pStyle w:val="ListBullet"/>
        <w:spacing w:after="60"/>
      </w:pPr>
      <w:r>
        <w:rPr>
          <w:rFonts w:ascii="Calibri" w:hAnsi="Calibri"/>
          <w:color w:val="1A1A2E"/>
          <w:sz w:val="21"/>
        </w:rPr>
        <w:t>Payment collection tracking with “Mark as Paid” workflow</w:t>
      </w:r>
    </w:p>
    <w:p>
      <w:pPr>
        <w:pStyle w:val="ListBullet"/>
        <w:spacing w:after="60"/>
      </w:pPr>
      <w:r>
        <w:rPr>
          <w:rFonts w:ascii="Calibri" w:hAnsi="Calibri"/>
          <w:color w:val="1A1A2E"/>
          <w:sz w:val="21"/>
        </w:rPr>
        <w:t>Sales reports, inventory status reports, stock aging analysis, and expiry tracking</w:t>
      </w:r>
    </w:p>
    <w:p>
      <w:pPr>
        <w:spacing w:before="80" w:after="80"/>
        <w:pBdr>
          <w:bottom w:val="single" w:sz="6" w:space="1" w:color="0096C7"/>
        </w:pBdr>
      </w:pPr>
    </w:p>
    <w:p>
      <w:r>
        <w:br w:type="page"/>
      </w:r>
    </w:p>
    <w:p>
      <w:pPr>
        <w:pStyle w:val="Heading2"/>
        <w:spacing w:before="280" w:after="80"/>
        <w:jc w:val="left"/>
      </w:pPr>
      <w:r>
        <w:rPr>
          <w:rFonts w:ascii="Calibri" w:hAnsi="Calibri"/>
          <w:color w:val="005B96"/>
        </w:rPr>
        <w:t>3.5  In-Patient Department (IPD) &amp; Admission Management</w:t>
      </w:r>
    </w:p>
    <w:p>
      <w:pPr>
        <w:spacing w:after="80"/>
      </w:pPr>
      <w:r>
        <w:rPr>
          <w:rFonts w:ascii="Calibri" w:hAnsi="Calibri"/>
          <w:i/>
          <w:color w:val="0096C7"/>
          <w:sz w:val="20"/>
        </w:rPr>
        <w:t>Complete Inpatient Care Coordination</w:t>
      </w:r>
    </w:p>
    <w:p>
      <w:pPr>
        <w:spacing w:after="120"/>
        <w:jc w:val="both"/>
      </w:pPr>
      <w:r>
        <w:rPr>
          <w:rFonts w:ascii="Calibri" w:hAnsi="Calibri"/>
          <w:b w:val="0"/>
          <w:i w:val="0"/>
          <w:color w:val="1A1A2E"/>
          <w:sz w:val="22"/>
        </w:rPr>
        <w:t>The IPD module manages the full lifecycle of in-patient care from admission to discharge. It provides visual bed management, ward operations, nursing coordination, diet planning, ward round documentation, and comprehensive medical records management for admitted patients.</w:t>
      </w:r>
    </w:p>
    <w:p>
      <w:pPr>
        <w:spacing w:after="40" w:before="120"/>
      </w:pPr>
      <w:r>
        <w:rPr>
          <w:rFonts w:ascii="Calibri" w:hAnsi="Calibri"/>
          <w:b/>
          <w:color w:val="005B96"/>
          <w:sz w:val="21"/>
        </w:rPr>
        <w:t>Admissions &amp; Bed Management</w:t>
      </w:r>
    </w:p>
    <w:p>
      <w:pPr>
        <w:pStyle w:val="ListBullet"/>
        <w:spacing w:after="60"/>
      </w:pPr>
      <w:r>
        <w:rPr>
          <w:rFonts w:ascii="Calibri" w:hAnsi="Calibri"/>
          <w:color w:val="1A1A2E"/>
          <w:sz w:val="21"/>
        </w:rPr>
        <w:t>Patient admission intake with admission type classification (Routine, Emergency, Surgery, ICU)</w:t>
      </w:r>
    </w:p>
    <w:p>
      <w:pPr>
        <w:pStyle w:val="ListBullet"/>
        <w:spacing w:after="60"/>
      </w:pPr>
      <w:r>
        <w:rPr>
          <w:rFonts w:ascii="Calibri" w:hAnsi="Calibri"/>
          <w:color w:val="1A1A2E"/>
          <w:sz w:val="21"/>
        </w:rPr>
        <w:t>Diagnosis at admission, line of treatment, and attending doctor assignment</w:t>
      </w:r>
    </w:p>
    <w:p>
      <w:pPr>
        <w:pStyle w:val="ListBullet"/>
        <w:spacing w:after="60"/>
      </w:pPr>
      <w:r>
        <w:rPr>
          <w:rFonts w:ascii="Calibri" w:hAnsi="Calibri"/>
          <w:color w:val="1A1A2E"/>
          <w:sz w:val="21"/>
        </w:rPr>
        <w:t>Visual Bed Matrix with color-coded status display (Available, Occupied, Cleaning, Maintenance, Reserved)</w:t>
      </w:r>
    </w:p>
    <w:p>
      <w:pPr>
        <w:pStyle w:val="ListBullet"/>
        <w:spacing w:after="60"/>
      </w:pPr>
      <w:r>
        <w:rPr>
          <w:rFonts w:ascii="Calibri" w:hAnsi="Calibri"/>
          <w:color w:val="1A1A2E"/>
          <w:sz w:val="21"/>
        </w:rPr>
        <w:t>Bed categories (General, Semi-Private, Private) with pricing tier management</w:t>
      </w:r>
    </w:p>
    <w:p>
      <w:pPr>
        <w:pStyle w:val="ListBullet"/>
        <w:spacing w:after="60"/>
      </w:pPr>
      <w:r>
        <w:rPr>
          <w:rFonts w:ascii="Calibri" w:hAnsi="Calibri"/>
          <w:color w:val="1A1A2E"/>
          <w:sz w:val="21"/>
        </w:rPr>
        <w:t>Click-to-admit functionality directly from the bed matrix view</w:t>
      </w:r>
    </w:p>
    <w:p>
      <w:pPr>
        <w:pStyle w:val="ListBullet"/>
        <w:spacing w:after="60"/>
      </w:pPr>
      <w:r>
        <w:rPr>
          <w:rFonts w:ascii="Calibri" w:hAnsi="Calibri"/>
          <w:color w:val="1A1A2E"/>
          <w:sz w:val="21"/>
        </w:rPr>
        <w:t>Bed maintenance tracking and automated status transitions</w:t>
      </w:r>
    </w:p>
    <w:p>
      <w:pPr>
        <w:spacing w:after="40" w:before="120"/>
      </w:pPr>
      <w:r>
        <w:rPr>
          <w:rFonts w:ascii="Calibri" w:hAnsi="Calibri"/>
          <w:b/>
          <w:color w:val="005B96"/>
          <w:sz w:val="21"/>
        </w:rPr>
        <w:t>Ward Operations</w:t>
      </w:r>
    </w:p>
    <w:p>
      <w:pPr>
        <w:pStyle w:val="ListBullet"/>
        <w:spacing w:after="60"/>
      </w:pPr>
      <w:r>
        <w:rPr>
          <w:rFonts w:ascii="Calibri" w:hAnsi="Calibri"/>
          <w:color w:val="1A1A2E"/>
          <w:sz w:val="21"/>
        </w:rPr>
        <w:t>Ward management with capacity tracking, cost per day, and nursing charge rates</w:t>
      </w:r>
    </w:p>
    <w:p>
      <w:pPr>
        <w:pStyle w:val="ListBullet"/>
        <w:spacing w:after="60"/>
      </w:pPr>
      <w:r>
        <w:rPr>
          <w:rFonts w:ascii="Calibri" w:hAnsi="Calibri"/>
          <w:color w:val="1A1A2E"/>
          <w:sz w:val="21"/>
        </w:rPr>
        <w:t>Department-wise ward assignment with floor number tracking</w:t>
      </w:r>
    </w:p>
    <w:p>
      <w:pPr>
        <w:pStyle w:val="ListBullet"/>
        <w:spacing w:after="60"/>
      </w:pPr>
      <w:r>
        <w:rPr>
          <w:rFonts w:ascii="Calibri" w:hAnsi="Calibri"/>
          <w:color w:val="1A1A2E"/>
          <w:sz w:val="21"/>
        </w:rPr>
        <w:t>Inter-ward bed transfers with reason documentation and complete transfer audit trail</w:t>
      </w:r>
    </w:p>
    <w:p>
      <w:pPr>
        <w:pStyle w:val="ListBullet"/>
        <w:spacing w:after="60"/>
      </w:pPr>
      <w:r>
        <w:rPr>
          <w:rFonts w:ascii="Calibri" w:hAnsi="Calibri"/>
          <w:color w:val="1A1A2E"/>
          <w:sz w:val="21"/>
        </w:rPr>
        <w:t>Occupancy census reports for real-time capacity planning</w:t>
      </w:r>
    </w:p>
    <w:p>
      <w:pPr>
        <w:spacing w:after="40" w:before="120"/>
      </w:pPr>
      <w:r>
        <w:rPr>
          <w:rFonts w:ascii="Calibri" w:hAnsi="Calibri"/>
          <w:b/>
          <w:color w:val="005B96"/>
          <w:sz w:val="21"/>
        </w:rPr>
        <w:t>Clinical In-Patient Care</w:t>
      </w:r>
    </w:p>
    <w:p>
      <w:pPr>
        <w:pStyle w:val="ListBullet"/>
        <w:spacing w:after="60"/>
      </w:pPr>
      <w:r>
        <w:rPr>
          <w:rFonts w:ascii="Calibri" w:hAnsi="Calibri"/>
          <w:color w:val="1A1A2E"/>
          <w:sz w:val="21"/>
        </w:rPr>
        <w:t>Nursing station dashboard with task assignments, vital signs monitoring, and medication administration</w:t>
      </w:r>
    </w:p>
    <w:p>
      <w:pPr>
        <w:pStyle w:val="ListBullet"/>
        <w:spacing w:after="60"/>
      </w:pPr>
      <w:r>
        <w:rPr>
          <w:rFonts w:ascii="Calibri" w:hAnsi="Calibri"/>
          <w:color w:val="1A1A2E"/>
          <w:sz w:val="21"/>
        </w:rPr>
        <w:t>Shift handover management ensuring continuity of care across nursing shifts</w:t>
      </w:r>
    </w:p>
    <w:p>
      <w:pPr>
        <w:pStyle w:val="ListBullet"/>
        <w:spacing w:after="60"/>
      </w:pPr>
      <w:r>
        <w:rPr>
          <w:rFonts w:ascii="Calibri" w:hAnsi="Calibri"/>
          <w:color w:val="1A1A2E"/>
          <w:sz w:val="21"/>
        </w:rPr>
        <w:t>Ward round scheduling and documentation with medical decision-making records</w:t>
      </w:r>
    </w:p>
    <w:p>
      <w:pPr>
        <w:pStyle w:val="ListBullet"/>
        <w:spacing w:after="60"/>
      </w:pPr>
      <w:r>
        <w:rPr>
          <w:rFonts w:ascii="Calibri" w:hAnsi="Calibri"/>
          <w:color w:val="1A1A2E"/>
          <w:sz w:val="21"/>
        </w:rPr>
        <w:t>Diet plan creation per patient with dietary restrictions, meal scheduling, and nutritionist notes</w:t>
      </w:r>
    </w:p>
    <w:p>
      <w:pPr>
        <w:pStyle w:val="ListBullet"/>
        <w:spacing w:after="60"/>
      </w:pPr>
      <w:r>
        <w:rPr>
          <w:rFonts w:ascii="Calibri" w:hAnsi="Calibri"/>
          <w:color w:val="1A1A2E"/>
          <w:sz w:val="21"/>
        </w:rPr>
        <w:t>Daily medical notes, progress documentation, and treatment updates</w:t>
      </w:r>
    </w:p>
    <w:p>
      <w:pPr>
        <w:spacing w:after="40" w:before="120"/>
      </w:pPr>
      <w:r>
        <w:rPr>
          <w:rFonts w:ascii="Calibri" w:hAnsi="Calibri"/>
          <w:b/>
          <w:color w:val="005B96"/>
          <w:sz w:val="21"/>
        </w:rPr>
        <w:t>Special Case Management</w:t>
      </w:r>
    </w:p>
    <w:p>
      <w:pPr>
        <w:pStyle w:val="ListBullet"/>
        <w:spacing w:after="60"/>
      </w:pPr>
      <w:r>
        <w:rPr>
          <w:rFonts w:ascii="Calibri" w:hAnsi="Calibri"/>
          <w:color w:val="1A1A2E"/>
          <w:sz w:val="21"/>
        </w:rPr>
        <w:t>Road Traffic Accident (RTA) case tracking with injury date documentation</w:t>
      </w:r>
    </w:p>
    <w:p>
      <w:pPr>
        <w:pStyle w:val="ListBullet"/>
        <w:spacing w:after="60"/>
      </w:pPr>
      <w:r>
        <w:rPr>
          <w:rFonts w:ascii="Calibri" w:hAnsi="Calibri"/>
          <w:color w:val="1A1A2E"/>
          <w:sz w:val="21"/>
        </w:rPr>
        <w:t>Substance abuse case flagging for specialized care protocols</w:t>
      </w:r>
    </w:p>
    <w:p>
      <w:pPr>
        <w:pStyle w:val="ListBullet"/>
        <w:spacing w:after="60"/>
      </w:pPr>
      <w:r>
        <w:rPr>
          <w:rFonts w:ascii="Calibri" w:hAnsi="Calibri"/>
          <w:color w:val="1A1A2E"/>
          <w:sz w:val="21"/>
        </w:rPr>
        <w:t>Police case and FIR number tracking for medico-legal compliance</w:t>
      </w:r>
    </w:p>
    <w:p>
      <w:pPr>
        <w:pStyle w:val="ListBullet"/>
        <w:spacing w:after="60"/>
      </w:pPr>
      <w:r>
        <w:rPr>
          <w:rFonts w:ascii="Calibri" w:hAnsi="Calibri"/>
          <w:color w:val="1A1A2E"/>
          <w:sz w:val="21"/>
        </w:rPr>
        <w:t>Consent signatures and ID card upload management</w:t>
      </w:r>
    </w:p>
    <w:p>
      <w:pPr>
        <w:spacing w:before="80" w:after="80"/>
        <w:pBdr>
          <w:bottom w:val="single" w:sz="6" w:space="1" w:color="0096C7"/>
        </w:pBdr>
      </w:pPr>
    </w:p>
    <w:p>
      <w:pPr>
        <w:pStyle w:val="Heading2"/>
        <w:spacing w:before="280" w:after="80"/>
        <w:jc w:val="left"/>
      </w:pPr>
      <w:r>
        <w:rPr>
          <w:rFonts w:ascii="Calibri" w:hAnsi="Calibri"/>
          <w:color w:val="005B96"/>
        </w:rPr>
        <w:t>3.6  Nursing Management</w:t>
      </w:r>
    </w:p>
    <w:p>
      <w:pPr>
        <w:spacing w:after="80"/>
      </w:pPr>
      <w:r>
        <w:rPr>
          <w:rFonts w:ascii="Calibri" w:hAnsi="Calibri"/>
          <w:i/>
          <w:color w:val="0096C7"/>
          <w:sz w:val="20"/>
        </w:rPr>
        <w:t>Empowering Bedside Care Excellence</w:t>
      </w:r>
    </w:p>
    <w:p>
      <w:pPr>
        <w:spacing w:after="120"/>
        <w:jc w:val="both"/>
      </w:pPr>
      <w:r>
        <w:rPr>
          <w:rFonts w:ascii="Calibri" w:hAnsi="Calibri"/>
          <w:b w:val="0"/>
          <w:i w:val="0"/>
          <w:color w:val="1A1A2E"/>
          <w:sz w:val="22"/>
        </w:rPr>
        <w:t>The Nursing module provides dedicated tools for nursing staff to manage their daily workflows, including patient vital signs monitoring, medication administration, task management, and shift handover documentation. It ensures nothing falls through the cracks during patient care.</w:t>
      </w:r>
    </w:p>
    <w:p>
      <w:pPr>
        <w:spacing w:after="40" w:before="120"/>
      </w:pPr>
      <w:r>
        <w:rPr>
          <w:rFonts w:ascii="Calibri" w:hAnsi="Calibri"/>
          <w:b/>
          <w:color w:val="005B96"/>
          <w:sz w:val="21"/>
        </w:rPr>
        <w:t>Vital Signs &amp; Monitoring</w:t>
      </w:r>
    </w:p>
    <w:p>
      <w:pPr>
        <w:pStyle w:val="ListBullet"/>
        <w:spacing w:after="60"/>
      </w:pPr>
      <w:r>
        <w:rPr>
          <w:rFonts w:ascii="Calibri" w:hAnsi="Calibri"/>
          <w:color w:val="1A1A2E"/>
          <w:sz w:val="21"/>
        </w:rPr>
        <w:t>Comprehensive vital signs entry: Blood Pressure, Heart Rate, Temperature, SpO2</w:t>
      </w:r>
    </w:p>
    <w:p>
      <w:pPr>
        <w:pStyle w:val="ListBullet"/>
        <w:spacing w:after="60"/>
      </w:pPr>
      <w:r>
        <w:rPr>
          <w:rFonts w:ascii="Calibri" w:hAnsi="Calibri"/>
          <w:color w:val="1A1A2E"/>
          <w:sz w:val="21"/>
        </w:rPr>
        <w:t>Normal range visualization with color-coded indicators and trend tracking</w:t>
      </w:r>
    </w:p>
    <w:p>
      <w:pPr>
        <w:pStyle w:val="ListBullet"/>
        <w:spacing w:after="60"/>
      </w:pPr>
      <w:r>
        <w:rPr>
          <w:rFonts w:ascii="Calibri" w:hAnsi="Calibri"/>
          <w:color w:val="1A1A2E"/>
          <w:sz w:val="21"/>
        </w:rPr>
        <w:t>Anomaly alerts for out-of-range values with automatic escalation to physicians</w:t>
      </w:r>
    </w:p>
    <w:p>
      <w:pPr>
        <w:pStyle w:val="ListBullet"/>
        <w:spacing w:after="60"/>
      </w:pPr>
      <w:r>
        <w:rPr>
          <w:rFonts w:ascii="Calibri" w:hAnsi="Calibri"/>
          <w:color w:val="1A1A2E"/>
          <w:sz w:val="21"/>
        </w:rPr>
        <w:t>Interactive vital signs charts with time-range selection (7/30/90 days, 1 year)</w:t>
      </w:r>
    </w:p>
    <w:p>
      <w:pPr>
        <w:spacing w:after="40" w:before="120"/>
      </w:pPr>
      <w:r>
        <w:rPr>
          <w:rFonts w:ascii="Calibri" w:hAnsi="Calibri"/>
          <w:b/>
          <w:color w:val="005B96"/>
          <w:sz w:val="21"/>
        </w:rPr>
        <w:t>Task &amp; Medication Management</w:t>
      </w:r>
    </w:p>
    <w:p>
      <w:pPr>
        <w:pStyle w:val="ListBullet"/>
        <w:spacing w:after="60"/>
      </w:pPr>
      <w:r>
        <w:rPr>
          <w:rFonts w:ascii="Calibri" w:hAnsi="Calibri"/>
          <w:color w:val="1A1A2E"/>
          <w:sz w:val="21"/>
        </w:rPr>
        <w:t>Shift-based task assignment per patient with priority levels and status tracking</w:t>
      </w:r>
    </w:p>
    <w:p>
      <w:pPr>
        <w:pStyle w:val="ListBullet"/>
        <w:spacing w:after="60"/>
      </w:pPr>
      <w:r>
        <w:rPr>
          <w:rFonts w:ascii="Calibri" w:hAnsi="Calibri"/>
          <w:color w:val="1A1A2E"/>
          <w:sz w:val="21"/>
        </w:rPr>
        <w:t>Task types include: Medication, Vitals, Hygiene, Mobility, and custom categories</w:t>
      </w:r>
    </w:p>
    <w:p>
      <w:pPr>
        <w:pStyle w:val="ListBullet"/>
        <w:spacing w:after="60"/>
      </w:pPr>
      <w:r>
        <w:rPr>
          <w:rFonts w:ascii="Calibri" w:hAnsi="Calibri"/>
          <w:color w:val="1A1A2E"/>
          <w:sz w:val="21"/>
        </w:rPr>
        <w:t>Medication administration tracking with scheduled vs. PRN (as-needed) differentiation</w:t>
      </w:r>
    </w:p>
    <w:p>
      <w:pPr>
        <w:pStyle w:val="ListBullet"/>
        <w:spacing w:after="60"/>
      </w:pPr>
      <w:r>
        <w:rPr>
          <w:rFonts w:ascii="Calibri" w:hAnsi="Calibri"/>
          <w:color w:val="1A1A2E"/>
          <w:sz w:val="21"/>
        </w:rPr>
        <w:t>Dosage verification, time of administration, and response documentation</w:t>
      </w:r>
    </w:p>
    <w:p>
      <w:pPr>
        <w:spacing w:after="40" w:before="120"/>
      </w:pPr>
      <w:r>
        <w:rPr>
          <w:rFonts w:ascii="Calibri" w:hAnsi="Calibri"/>
          <w:b/>
          <w:color w:val="005B96"/>
          <w:sz w:val="21"/>
        </w:rPr>
        <w:t>Shift Operations</w:t>
      </w:r>
    </w:p>
    <w:p>
      <w:pPr>
        <w:pStyle w:val="ListBullet"/>
        <w:spacing w:after="60"/>
      </w:pPr>
      <w:r>
        <w:rPr>
          <w:rFonts w:ascii="Calibri" w:hAnsi="Calibri"/>
          <w:color w:val="1A1A2E"/>
          <w:sz w:val="21"/>
        </w:rPr>
        <w:t>Structured shift-to-shift handover with critical patient flags and pending task summary</w:t>
      </w:r>
    </w:p>
    <w:p>
      <w:pPr>
        <w:pStyle w:val="ListBullet"/>
        <w:spacing w:after="60"/>
      </w:pPr>
      <w:r>
        <w:rPr>
          <w:rFonts w:ascii="Calibri" w:hAnsi="Calibri"/>
          <w:color w:val="1A1A2E"/>
          <w:sz w:val="21"/>
        </w:rPr>
        <w:t>Doctor orders summary for incoming nursing shift awareness</w:t>
      </w:r>
    </w:p>
    <w:p>
      <w:pPr>
        <w:pStyle w:val="ListBullet"/>
        <w:spacing w:after="60"/>
      </w:pPr>
      <w:r>
        <w:rPr>
          <w:rFonts w:ascii="Calibri" w:hAnsi="Calibri"/>
          <w:color w:val="1A1A2E"/>
          <w:sz w:val="21"/>
        </w:rPr>
        <w:t>Handover sign-off workflow ensuring accountability and completeness</w:t>
      </w:r>
    </w:p>
    <w:p>
      <w:pPr>
        <w:pStyle w:val="ListBullet"/>
        <w:spacing w:after="60"/>
      </w:pPr>
      <w:r>
        <w:rPr>
          <w:rFonts w:ascii="Calibri" w:hAnsi="Calibri"/>
          <w:color w:val="1A1A2E"/>
          <w:sz w:val="21"/>
        </w:rPr>
        <w:t>Patient list per shift with ward assignment view and current status summary</w:t>
      </w:r>
    </w:p>
    <w:p>
      <w:pPr>
        <w:spacing w:before="80" w:after="80"/>
        <w:pBdr>
          <w:bottom w:val="single" w:sz="6" w:space="1" w:color="0096C7"/>
        </w:pBdr>
      </w:pPr>
    </w:p>
    <w:p>
      <w:r>
        <w:br w:type="page"/>
      </w:r>
    </w:p>
    <w:p>
      <w:pPr>
        <w:pStyle w:val="Heading2"/>
        <w:spacing w:before="280" w:after="80"/>
        <w:jc w:val="left"/>
      </w:pPr>
      <w:r>
        <w:rPr>
          <w:rFonts w:ascii="Calibri" w:hAnsi="Calibri"/>
          <w:color w:val="005B96"/>
        </w:rPr>
        <w:t>3.7  Discharge Management</w:t>
      </w:r>
    </w:p>
    <w:p>
      <w:pPr>
        <w:spacing w:after="80"/>
      </w:pPr>
      <w:r>
        <w:rPr>
          <w:rFonts w:ascii="Calibri" w:hAnsi="Calibri"/>
          <w:i/>
          <w:color w:val="0096C7"/>
          <w:sz w:val="20"/>
        </w:rPr>
        <w:t>Streamlined Patient Transition &amp; Documentation</w:t>
      </w:r>
    </w:p>
    <w:p>
      <w:pPr>
        <w:spacing w:after="120"/>
        <w:jc w:val="both"/>
      </w:pPr>
      <w:r>
        <w:rPr>
          <w:rFonts w:ascii="Calibri" w:hAnsi="Calibri"/>
          <w:b w:val="0"/>
          <w:i w:val="0"/>
          <w:color w:val="1A1A2E"/>
          <w:sz w:val="22"/>
        </w:rPr>
        <w:t>The Discharge module automates the creation of comprehensive discharge summaries and manages the entire discharge workflow to ensure patients leave with complete documentation of their hospital stay, treatment received, and follow-up instructions.</w:t>
      </w:r>
    </w:p>
    <w:p>
      <w:pPr>
        <w:spacing w:after="40" w:before="120"/>
      </w:pPr>
      <w:r>
        <w:rPr>
          <w:rFonts w:ascii="Calibri" w:hAnsi="Calibri"/>
          <w:b/>
          <w:color w:val="005B96"/>
          <w:sz w:val="21"/>
        </w:rPr>
        <w:t>Discharge Workflow</w:t>
      </w:r>
    </w:p>
    <w:p>
      <w:pPr>
        <w:pStyle w:val="ListBullet"/>
        <w:spacing w:after="60"/>
      </w:pPr>
      <w:r>
        <w:rPr>
          <w:rFonts w:ascii="Calibri" w:hAnsi="Calibri"/>
          <w:color w:val="1A1A2E"/>
          <w:sz w:val="21"/>
        </w:rPr>
        <w:t>View of all admitted patients eligible for discharge with workflow initiation</w:t>
      </w:r>
    </w:p>
    <w:p>
      <w:pPr>
        <w:pStyle w:val="ListBullet"/>
        <w:spacing w:after="60"/>
      </w:pPr>
      <w:r>
        <w:rPr>
          <w:rFonts w:ascii="Calibri" w:hAnsi="Calibri"/>
          <w:color w:val="1A1A2E"/>
          <w:sz w:val="21"/>
        </w:rPr>
        <w:t>Auto-generated discharge summary in structured SOAP format</w:t>
      </w:r>
    </w:p>
    <w:p>
      <w:pPr>
        <w:pStyle w:val="ListBullet"/>
        <w:spacing w:after="60"/>
      </w:pPr>
      <w:r>
        <w:rPr>
          <w:rFonts w:ascii="Calibri" w:hAnsi="Calibri"/>
          <w:color w:val="1A1A2E"/>
          <w:sz w:val="21"/>
        </w:rPr>
        <w:t>Complete summary including: patient demographics, admission/discharge dates, diagnosis, treatment, lab results, prescribed medications, and follow-up instructions</w:t>
      </w:r>
    </w:p>
    <w:p>
      <w:pPr>
        <w:pStyle w:val="ListBullet"/>
        <w:spacing w:after="60"/>
      </w:pPr>
      <w:r>
        <w:rPr>
          <w:rFonts w:ascii="Calibri" w:hAnsi="Calibri"/>
          <w:color w:val="1A1A2E"/>
          <w:sz w:val="21"/>
        </w:rPr>
        <w:t>Doctor’s signature and approval workflow before discharge finalization</w:t>
      </w:r>
    </w:p>
    <w:p>
      <w:pPr>
        <w:pStyle w:val="ListBullet"/>
        <w:spacing w:after="60"/>
      </w:pPr>
      <w:r>
        <w:rPr>
          <w:rFonts w:ascii="Calibri" w:hAnsi="Calibri"/>
          <w:color w:val="1A1A2E"/>
          <w:sz w:val="21"/>
        </w:rPr>
        <w:t>Professional discharge summary PDF export for patient handoff</w:t>
      </w:r>
    </w:p>
    <w:p>
      <w:pPr>
        <w:pStyle w:val="ListBullet"/>
        <w:spacing w:after="60"/>
      </w:pPr>
      <w:r>
        <w:rPr>
          <w:rFonts w:ascii="Calibri" w:hAnsi="Calibri"/>
          <w:color w:val="1A1A2E"/>
          <w:sz w:val="21"/>
        </w:rPr>
        <w:t>Printable format optimized for hospital letterhead</w:t>
      </w:r>
    </w:p>
    <w:p>
      <w:pPr>
        <w:spacing w:before="80" w:after="80"/>
        <w:pBdr>
          <w:bottom w:val="single" w:sz="6" w:space="1" w:color="0096C7"/>
        </w:pBdr>
      </w:pPr>
    </w:p>
    <w:p>
      <w:pPr>
        <w:pStyle w:val="Heading1"/>
        <w:spacing w:before="360" w:after="120"/>
        <w:jc w:val="left"/>
      </w:pPr>
      <w:r>
        <w:rPr>
          <w:rFonts w:ascii="Calibri" w:hAnsi="Calibri"/>
          <w:color w:val="005B96"/>
        </w:rPr>
        <w:t>4. Administrative &amp; Operational Modules</w:t>
      </w:r>
    </w:p>
    <w:p>
      <w:pPr>
        <w:spacing w:before="80" w:after="80"/>
        <w:pBdr>
          <w:bottom w:val="single" w:sz="6" w:space="1" w:color="0096C7"/>
        </w:pBdr>
      </w:pPr>
    </w:p>
    <w:p>
      <w:pPr>
        <w:pStyle w:val="Heading2"/>
        <w:spacing w:before="280" w:after="80"/>
        <w:jc w:val="left"/>
      </w:pPr>
      <w:r>
        <w:rPr>
          <w:rFonts w:ascii="Calibri" w:hAnsi="Calibri"/>
          <w:color w:val="005B96"/>
        </w:rPr>
        <w:t>4.1  Billing &amp; Finance</w:t>
      </w:r>
    </w:p>
    <w:p>
      <w:pPr>
        <w:spacing w:after="80"/>
      </w:pPr>
      <w:r>
        <w:rPr>
          <w:rFonts w:ascii="Calibri" w:hAnsi="Calibri"/>
          <w:i/>
          <w:color w:val="0096C7"/>
          <w:sz w:val="20"/>
        </w:rPr>
        <w:t>Complete Financial Control &amp; Revenue Cycle Management</w:t>
      </w:r>
    </w:p>
    <w:p>
      <w:pPr>
        <w:spacing w:after="120"/>
        <w:jc w:val="both"/>
      </w:pPr>
      <w:r>
        <w:rPr>
          <w:rFonts w:ascii="Calibri" w:hAnsi="Calibri"/>
          <w:b w:val="0"/>
          <w:i w:val="0"/>
          <w:color w:val="1A1A2E"/>
          <w:sz w:val="22"/>
        </w:rPr>
        <w:t>The Finance module provides hospital administrators with a comprehensive suite of financial management tools covering invoicing, payment processing, insurance claims, cash management, bank reconciliation, expense tracking, and multi-dimensional financial reporting.</w:t>
      </w:r>
    </w:p>
    <w:p>
      <w:pPr>
        <w:spacing w:after="40" w:before="120"/>
      </w:pPr>
      <w:r>
        <w:rPr>
          <w:rFonts w:ascii="Calibri" w:hAnsi="Calibri"/>
          <w:b/>
          <w:color w:val="005B96"/>
          <w:sz w:val="21"/>
        </w:rPr>
        <w:t>Invoice Management</w:t>
      </w:r>
    </w:p>
    <w:p>
      <w:pPr>
        <w:pStyle w:val="ListBullet"/>
        <w:spacing w:after="60"/>
      </w:pPr>
      <w:r>
        <w:rPr>
          <w:rFonts w:ascii="Calibri" w:hAnsi="Calibri"/>
          <w:color w:val="1A1A2E"/>
          <w:sz w:val="21"/>
        </w:rPr>
        <w:t>Create OPD/IPD invoices with itemized charges, department-wise breakdown, and discount application</w:t>
      </w:r>
    </w:p>
    <w:p>
      <w:pPr>
        <w:pStyle w:val="ListBullet"/>
        <w:spacing w:after="60"/>
      </w:pPr>
      <w:r>
        <w:rPr>
          <w:rFonts w:ascii="Calibri" w:hAnsi="Calibri"/>
          <w:color w:val="1A1A2E"/>
          <w:sz w:val="21"/>
        </w:rPr>
        <w:t>Invoice lifecycle tracking: Draft → Finalized → Paid → Partially Paid</w:t>
      </w:r>
    </w:p>
    <w:p>
      <w:pPr>
        <w:pStyle w:val="ListBullet"/>
        <w:spacing w:after="60"/>
      </w:pPr>
      <w:r>
        <w:rPr>
          <w:rFonts w:ascii="Calibri" w:hAnsi="Calibri"/>
          <w:color w:val="1A1A2E"/>
          <w:sz w:val="21"/>
        </w:rPr>
        <w:t>Automated invoice numbering system with PDF export and print capability</w:t>
      </w:r>
    </w:p>
    <w:p>
      <w:pPr>
        <w:pStyle w:val="ListBullet"/>
        <w:spacing w:after="60"/>
      </w:pPr>
      <w:r>
        <w:rPr>
          <w:rFonts w:ascii="Calibri" w:hAnsi="Calibri"/>
          <w:color w:val="1A1A2E"/>
          <w:sz w:val="21"/>
        </w:rPr>
        <w:t>Charge catalog with master list of billable items, codes, default pricing, and category organization</w:t>
      </w:r>
    </w:p>
    <w:p>
      <w:pPr>
        <w:spacing w:after="40" w:before="120"/>
      </w:pPr>
      <w:r>
        <w:rPr>
          <w:rFonts w:ascii="Calibri" w:hAnsi="Calibri"/>
          <w:b/>
          <w:color w:val="005B96"/>
          <w:sz w:val="21"/>
        </w:rPr>
        <w:t>Payment Processing &amp; Razorpay Integration</w:t>
      </w:r>
    </w:p>
    <w:p>
      <w:pPr>
        <w:pStyle w:val="ListBullet"/>
        <w:spacing w:after="60"/>
      </w:pPr>
      <w:r>
        <w:rPr>
          <w:rFonts w:ascii="Calibri" w:hAnsi="Calibri"/>
          <w:color w:val="1A1A2E"/>
          <w:sz w:val="21"/>
        </w:rPr>
        <w:t>Multi-method payment acceptance: Cash, Card, Cheque, UPI, and online payment</w:t>
      </w:r>
    </w:p>
    <w:p>
      <w:pPr>
        <w:pStyle w:val="ListBullet"/>
        <w:spacing w:after="60"/>
      </w:pPr>
      <w:r>
        <w:rPr>
          <w:rFonts w:ascii="Calibri" w:hAnsi="Calibri"/>
          <w:color w:val="1A1A2E"/>
          <w:sz w:val="21"/>
        </w:rPr>
        <w:t>Payment types: Full payment, Partial payment, and Advance deposits</w:t>
      </w:r>
    </w:p>
    <w:p>
      <w:pPr>
        <w:pStyle w:val="ListBullet"/>
        <w:spacing w:after="60"/>
      </w:pPr>
      <w:r>
        <w:rPr>
          <w:rFonts w:ascii="Calibri" w:hAnsi="Calibri"/>
          <w:color w:val="1A1A2E"/>
          <w:sz w:val="21"/>
        </w:rPr>
        <w:t>Razorpay payment gateway integration for secure online transactions</w:t>
      </w:r>
    </w:p>
    <w:p>
      <w:pPr>
        <w:pStyle w:val="ListBullet"/>
        <w:spacing w:after="60"/>
      </w:pPr>
      <w:r>
        <w:rPr>
          <w:rFonts w:ascii="Calibri" w:hAnsi="Calibri"/>
          <w:color w:val="1A1A2E"/>
          <w:sz w:val="21"/>
        </w:rPr>
        <w:t>Payment verification, receipt generation, and receipt number tracking</w:t>
      </w:r>
    </w:p>
    <w:p>
      <w:pPr>
        <w:pStyle w:val="ListBullet"/>
        <w:spacing w:after="60"/>
      </w:pPr>
      <w:r>
        <w:rPr>
          <w:rFonts w:ascii="Calibri" w:hAnsi="Calibri"/>
          <w:color w:val="1A1A2E"/>
          <w:sz w:val="21"/>
        </w:rPr>
        <w:t>Patient deposit management with advance payment tracking and refund processing</w:t>
      </w:r>
    </w:p>
    <w:p>
      <w:pPr>
        <w:spacing w:after="40" w:before="120"/>
      </w:pPr>
      <w:r>
        <w:rPr>
          <w:rFonts w:ascii="Calibri" w:hAnsi="Calibri"/>
          <w:b/>
          <w:color w:val="005B96"/>
          <w:sz w:val="21"/>
        </w:rPr>
        <w:t>Cash &amp; Bank Management</w:t>
      </w:r>
    </w:p>
    <w:p>
      <w:pPr>
        <w:pStyle w:val="ListBullet"/>
        <w:spacing w:after="60"/>
      </w:pPr>
      <w:r>
        <w:rPr>
          <w:rFonts w:ascii="Calibri" w:hAnsi="Calibri"/>
          <w:color w:val="1A1A2E"/>
          <w:sz w:val="21"/>
        </w:rPr>
        <w:t>Daily cash closure with settlement, reconciliation, and cash-on-hand counting</w:t>
      </w:r>
    </w:p>
    <w:p>
      <w:pPr>
        <w:pStyle w:val="ListBullet"/>
        <w:spacing w:after="60"/>
      </w:pPr>
      <w:r>
        <w:rPr>
          <w:rFonts w:ascii="Calibri" w:hAnsi="Calibri"/>
          <w:color w:val="1A1A2E"/>
          <w:sz w:val="21"/>
        </w:rPr>
        <w:t>Monthly cash closure reports for accounting compliance</w:t>
      </w:r>
    </w:p>
    <w:p>
      <w:pPr>
        <w:pStyle w:val="ListBullet"/>
        <w:spacing w:after="60"/>
      </w:pPr>
      <w:r>
        <w:rPr>
          <w:rFonts w:ascii="Calibri" w:hAnsi="Calibri"/>
          <w:color w:val="1A1A2E"/>
          <w:sz w:val="21"/>
        </w:rPr>
        <w:t>Bank statement upload and transaction matching for reconciliation</w:t>
      </w:r>
    </w:p>
    <w:p>
      <w:pPr>
        <w:pStyle w:val="ListBullet"/>
        <w:spacing w:after="60"/>
      </w:pPr>
      <w:r>
        <w:rPr>
          <w:rFonts w:ascii="Calibri" w:hAnsi="Calibri"/>
          <w:color w:val="1A1A2E"/>
          <w:sz w:val="21"/>
        </w:rPr>
        <w:t>Variance investigation tools for discrepancy resolution</w:t>
      </w:r>
    </w:p>
    <w:p>
      <w:pPr>
        <w:spacing w:after="40" w:before="120"/>
      </w:pPr>
      <w:r>
        <w:rPr>
          <w:rFonts w:ascii="Calibri" w:hAnsi="Calibri"/>
          <w:b/>
          <w:color w:val="005B96"/>
          <w:sz w:val="21"/>
        </w:rPr>
        <w:t>Refunds, Credits &amp; Expense Tracking</w:t>
      </w:r>
    </w:p>
    <w:p>
      <w:pPr>
        <w:pStyle w:val="ListBullet"/>
        <w:spacing w:after="60"/>
      </w:pPr>
      <w:r>
        <w:rPr>
          <w:rFonts w:ascii="Calibri" w:hAnsi="Calibri"/>
          <w:color w:val="1A1A2E"/>
          <w:sz w:val="21"/>
        </w:rPr>
        <w:t>Refund request creation with reason documentation and approval workflows</w:t>
      </w:r>
    </w:p>
    <w:p>
      <w:pPr>
        <w:pStyle w:val="ListBullet"/>
        <w:spacing w:after="60"/>
      </w:pPr>
      <w:r>
        <w:rPr>
          <w:rFonts w:ascii="Calibri" w:hAnsi="Calibri"/>
          <w:color w:val="1A1A2E"/>
          <w:sz w:val="21"/>
        </w:rPr>
        <w:t>Credit note generation with adjustment against future invoices</w:t>
      </w:r>
    </w:p>
    <w:p>
      <w:pPr>
        <w:pStyle w:val="ListBullet"/>
        <w:spacing w:after="60"/>
      </w:pPr>
      <w:r>
        <w:rPr>
          <w:rFonts w:ascii="Calibri" w:hAnsi="Calibri"/>
          <w:color w:val="1A1A2E"/>
          <w:sz w:val="21"/>
        </w:rPr>
        <w:t>Expense category tracking with vendor management and documentation</w:t>
      </w:r>
    </w:p>
    <w:p>
      <w:pPr>
        <w:pStyle w:val="ListBullet"/>
        <w:spacing w:after="60"/>
      </w:pPr>
      <w:r>
        <w:rPr>
          <w:rFonts w:ascii="Calibri" w:hAnsi="Calibri"/>
          <w:color w:val="1A1A2E"/>
          <w:sz w:val="21"/>
        </w:rPr>
        <w:t>GST/VAT tax configuration with automated calculation and compliance reporting</w:t>
      </w:r>
    </w:p>
    <w:p>
      <w:pPr>
        <w:spacing w:after="40" w:before="120"/>
      </w:pPr>
      <w:r>
        <w:rPr>
          <w:rFonts w:ascii="Calibri" w:hAnsi="Calibri"/>
          <w:b/>
          <w:color w:val="005B96"/>
          <w:sz w:val="21"/>
        </w:rPr>
        <w:t>Financial Reporting Suite</w:t>
      </w:r>
    </w:p>
    <w:p>
      <w:pPr>
        <w:pStyle w:val="ListBullet"/>
        <w:spacing w:after="60"/>
      </w:pPr>
      <w:r>
        <w:rPr>
          <w:rFonts w:ascii="Calibri" w:hAnsi="Calibri"/>
          <w:color w:val="1A1A2E"/>
          <w:sz w:val="21"/>
        </w:rPr>
        <w:t>Daily revenue reports with department-wise and doctor-wise breakdown</w:t>
      </w:r>
    </w:p>
    <w:p>
      <w:pPr>
        <w:pStyle w:val="ListBullet"/>
        <w:spacing w:after="60"/>
      </w:pPr>
      <w:r>
        <w:rPr>
          <w:rFonts w:ascii="Calibri" w:hAnsi="Calibri"/>
          <w:color w:val="1A1A2E"/>
          <w:sz w:val="21"/>
        </w:rPr>
        <w:t>Period-wise comparison reports with custom date range selection</w:t>
      </w:r>
    </w:p>
    <w:p>
      <w:pPr>
        <w:pStyle w:val="ListBullet"/>
        <w:spacing w:after="60"/>
      </w:pPr>
      <w:r>
        <w:rPr>
          <w:rFonts w:ascii="Calibri" w:hAnsi="Calibri"/>
          <w:color w:val="1A1A2E"/>
          <w:sz w:val="21"/>
        </w:rPr>
        <w:t>Financial period management with fiscal year tracking and period closure</w:t>
      </w:r>
    </w:p>
    <w:p>
      <w:pPr>
        <w:pStyle w:val="ListBullet"/>
        <w:spacing w:after="60"/>
      </w:pPr>
      <w:r>
        <w:rPr>
          <w:rFonts w:ascii="Calibri" w:hAnsi="Calibri"/>
          <w:color w:val="1A1A2E"/>
          <w:sz w:val="21"/>
        </w:rPr>
        <w:t>Collections reports, accounts receivable aging, and expense analysis</w:t>
      </w:r>
    </w:p>
    <w:p>
      <w:pPr>
        <w:spacing w:before="80" w:after="80"/>
        <w:pBdr>
          <w:bottom w:val="single" w:sz="6" w:space="1" w:color="0096C7"/>
        </w:pBdr>
      </w:pPr>
    </w:p>
    <w:p>
      <w:r>
        <w:br w:type="page"/>
      </w:r>
    </w:p>
    <w:p>
      <w:pPr>
        <w:pStyle w:val="Heading2"/>
        <w:spacing w:before="280" w:after="80"/>
        <w:jc w:val="left"/>
      </w:pPr>
      <w:r>
        <w:rPr>
          <w:rFonts w:ascii="Calibri" w:hAnsi="Calibri"/>
          <w:color w:val="005B96"/>
        </w:rPr>
        <w:t>4.2  Insurance &amp; TPA Integration</w:t>
      </w:r>
    </w:p>
    <w:p>
      <w:pPr>
        <w:spacing w:after="80"/>
      </w:pPr>
      <w:r>
        <w:rPr>
          <w:rFonts w:ascii="Calibri" w:hAnsi="Calibri"/>
          <w:i/>
          <w:color w:val="0096C7"/>
          <w:sz w:val="20"/>
        </w:rPr>
        <w:t>Seamless Insurance Claim Lifecycle Management</w:t>
      </w:r>
    </w:p>
    <w:p>
      <w:pPr>
        <w:spacing w:after="120"/>
        <w:jc w:val="both"/>
      </w:pPr>
      <w:r>
        <w:rPr>
          <w:rFonts w:ascii="Calibri" w:hAnsi="Calibri"/>
          <w:b w:val="0"/>
          <w:i w:val="0"/>
          <w:color w:val="1A1A2E"/>
          <w:sz w:val="22"/>
        </w:rPr>
        <w:t>The Insurance module streamlines the complex process of insurance claim management, from policy verification at registration through claim submission, tracking, and settlement. It integrates with Third-Party Administrators (TPAs) and insurance platforms to minimize claim rejection rates and accelerate revenue realization.</w:t>
      </w:r>
    </w:p>
    <w:p>
      <w:pPr>
        <w:spacing w:after="40" w:before="120"/>
      </w:pPr>
      <w:r>
        <w:rPr>
          <w:rFonts w:ascii="Calibri" w:hAnsi="Calibri"/>
          <w:b/>
          <w:color w:val="005B96"/>
          <w:sz w:val="21"/>
        </w:rPr>
        <w:t>Policy &amp; Provider Management</w:t>
      </w:r>
    </w:p>
    <w:p>
      <w:pPr>
        <w:pStyle w:val="ListBullet"/>
        <w:spacing w:after="60"/>
      </w:pPr>
      <w:r>
        <w:rPr>
          <w:rFonts w:ascii="Calibri" w:hAnsi="Calibri"/>
          <w:color w:val="1A1A2E"/>
          <w:sz w:val="21"/>
        </w:rPr>
        <w:t>Insurance company master data with provider contact information and activation status</w:t>
      </w:r>
    </w:p>
    <w:p>
      <w:pPr>
        <w:pStyle w:val="ListBullet"/>
        <w:spacing w:after="60"/>
      </w:pPr>
      <w:r>
        <w:rPr>
          <w:rFonts w:ascii="Calibri" w:hAnsi="Calibri"/>
          <w:color w:val="1A1A2E"/>
          <w:sz w:val="21"/>
        </w:rPr>
        <w:t>Patient insurance policy tracking: policy number, plan name, member ID, coverage limits</w:t>
      </w:r>
    </w:p>
    <w:p>
      <w:pPr>
        <w:pStyle w:val="ListBullet"/>
        <w:spacing w:after="60"/>
      </w:pPr>
      <w:r>
        <w:rPr>
          <w:rFonts w:ascii="Calibri" w:hAnsi="Calibri"/>
          <w:color w:val="1A1A2E"/>
          <w:sz w:val="21"/>
        </w:rPr>
        <w:t>Remaining balance tracking and valid date range management</w:t>
      </w:r>
    </w:p>
    <w:p>
      <w:pPr>
        <w:pStyle w:val="ListBullet"/>
        <w:spacing w:after="60"/>
      </w:pPr>
      <w:r>
        <w:rPr>
          <w:rFonts w:ascii="Calibri" w:hAnsi="Calibri"/>
          <w:color w:val="1A1A2E"/>
          <w:sz w:val="21"/>
        </w:rPr>
        <w:t>Corporate/employer insurance information for group policies</w:t>
      </w:r>
    </w:p>
    <w:p>
      <w:pPr>
        <w:spacing w:after="40" w:before="120"/>
      </w:pPr>
      <w:r>
        <w:rPr>
          <w:rFonts w:ascii="Calibri" w:hAnsi="Calibri"/>
          <w:b/>
          <w:color w:val="005B96"/>
          <w:sz w:val="21"/>
        </w:rPr>
        <w:t>Claim Processing &amp; Zealthix Integration</w:t>
      </w:r>
    </w:p>
    <w:p>
      <w:pPr>
        <w:pStyle w:val="ListBullet"/>
        <w:spacing w:after="60"/>
      </w:pPr>
      <w:r>
        <w:rPr>
          <w:rFonts w:ascii="Calibri" w:hAnsi="Calibri"/>
          <w:color w:val="1A1A2E"/>
          <w:sz w:val="21"/>
        </w:rPr>
        <w:t>Automatic insurance claim creation linked to patient invoices</w:t>
      </w:r>
    </w:p>
    <w:p>
      <w:pPr>
        <w:pStyle w:val="ListBullet"/>
        <w:spacing w:after="60"/>
      </w:pPr>
      <w:r>
        <w:rPr>
          <w:rFonts w:ascii="Calibri" w:hAnsi="Calibri"/>
          <w:color w:val="1A1A2E"/>
          <w:sz w:val="21"/>
        </w:rPr>
        <w:t>Claim lifecycle tracking: Submitted → Approved → Rejected → Settled</w:t>
      </w:r>
    </w:p>
    <w:p>
      <w:pPr>
        <w:pStyle w:val="ListBullet"/>
        <w:spacing w:after="60"/>
      </w:pPr>
      <w:r>
        <w:rPr>
          <w:rFonts w:ascii="Calibri" w:hAnsi="Calibri"/>
          <w:color w:val="1A1A2E"/>
          <w:sz w:val="21"/>
        </w:rPr>
        <w:t>Claimed amount vs. approved amount vs. settled amount tracking with TDS deduction</w:t>
      </w:r>
    </w:p>
    <w:p>
      <w:pPr>
        <w:pStyle w:val="ListBullet"/>
        <w:spacing w:after="60"/>
      </w:pPr>
      <w:r>
        <w:rPr>
          <w:rFonts w:ascii="Calibri" w:hAnsi="Calibri"/>
          <w:color w:val="1A1A2E"/>
          <w:sz w:val="21"/>
        </w:rPr>
        <w:t>Zealthix API integration for patient lookup, claim submission, and status updates</w:t>
      </w:r>
    </w:p>
    <w:p>
      <w:pPr>
        <w:pStyle w:val="ListBullet"/>
        <w:spacing w:after="60"/>
      </w:pPr>
      <w:r>
        <w:rPr>
          <w:rFonts w:ascii="Calibri" w:hAnsi="Calibri"/>
          <w:color w:val="1A1A2E"/>
          <w:sz w:val="21"/>
        </w:rPr>
        <w:t>Visit document management for claim evidence and documentation</w:t>
      </w:r>
    </w:p>
    <w:p>
      <w:pPr>
        <w:spacing w:after="40" w:before="120"/>
      </w:pPr>
      <w:r>
        <w:rPr>
          <w:rFonts w:ascii="Calibri" w:hAnsi="Calibri"/>
          <w:b/>
          <w:color w:val="005B96"/>
          <w:sz w:val="21"/>
        </w:rPr>
        <w:t>Insurance Analytics</w:t>
      </w:r>
    </w:p>
    <w:p>
      <w:pPr>
        <w:pStyle w:val="ListBullet"/>
        <w:spacing w:after="60"/>
      </w:pPr>
      <w:r>
        <w:rPr>
          <w:rFonts w:ascii="Calibri" w:hAnsi="Calibri"/>
          <w:color w:val="1A1A2E"/>
          <w:sz w:val="21"/>
        </w:rPr>
        <w:t>Claim summary reports with provider-wise analytics</w:t>
      </w:r>
    </w:p>
    <w:p>
      <w:pPr>
        <w:pStyle w:val="ListBullet"/>
        <w:spacing w:after="60"/>
      </w:pPr>
      <w:r>
        <w:rPr>
          <w:rFonts w:ascii="Calibri" w:hAnsi="Calibri"/>
          <w:color w:val="1A1A2E"/>
          <w:sz w:val="21"/>
        </w:rPr>
        <w:t>Settlement reports and turnaround time analysis</w:t>
      </w:r>
    </w:p>
    <w:p>
      <w:pPr>
        <w:pStyle w:val="ListBullet"/>
        <w:spacing w:after="60"/>
      </w:pPr>
      <w:r>
        <w:rPr>
          <w:rFonts w:ascii="Calibri" w:hAnsi="Calibri"/>
          <w:color w:val="1A1A2E"/>
          <w:sz w:val="21"/>
        </w:rPr>
        <w:t>Policy-wise utilization tracking for strategic insurer partnerships</w:t>
      </w:r>
    </w:p>
    <w:p>
      <w:pPr>
        <w:spacing w:before="80" w:after="80"/>
        <w:pBdr>
          <w:bottom w:val="single" w:sz="6" w:space="1" w:color="0096C7"/>
        </w:pBdr>
      </w:pPr>
    </w:p>
    <w:p>
      <w:pPr>
        <w:pStyle w:val="Heading2"/>
        <w:spacing w:before="280" w:after="80"/>
        <w:jc w:val="left"/>
      </w:pPr>
      <w:r>
        <w:rPr>
          <w:rFonts w:ascii="Calibri" w:hAnsi="Calibri"/>
          <w:color w:val="005B96"/>
        </w:rPr>
        <w:t>4.3  Human Resources (HR) Management</w:t>
      </w:r>
    </w:p>
    <w:p>
      <w:pPr>
        <w:spacing w:after="80"/>
      </w:pPr>
      <w:r>
        <w:rPr>
          <w:rFonts w:ascii="Calibri" w:hAnsi="Calibri"/>
          <w:i/>
          <w:color w:val="0096C7"/>
          <w:sz w:val="20"/>
        </w:rPr>
        <w:t>Comprehensive Staff Lifecycle Management</w:t>
      </w:r>
    </w:p>
    <w:p>
      <w:pPr>
        <w:spacing w:after="120"/>
        <w:jc w:val="both"/>
      </w:pPr>
      <w:r>
        <w:rPr>
          <w:rFonts w:ascii="Calibri" w:hAnsi="Calibri"/>
          <w:b w:val="0"/>
          <w:i w:val="0"/>
          <w:color w:val="1A1A2E"/>
          <w:sz w:val="22"/>
        </w:rPr>
        <w:t>The HR module manages the complete employee lifecycle from onboarding to payroll. It covers attendance tracking, leave management, shift scheduling, and integrates with the clinical modules to manage doctor availability and nurse shift assignments.</w:t>
      </w:r>
    </w:p>
    <w:p>
      <w:pPr>
        <w:spacing w:after="40" w:before="120"/>
      </w:pPr>
      <w:r>
        <w:rPr>
          <w:rFonts w:ascii="Calibri" w:hAnsi="Calibri"/>
          <w:b/>
          <w:color w:val="005B96"/>
          <w:sz w:val="21"/>
        </w:rPr>
        <w:t>Employee Management</w:t>
      </w:r>
    </w:p>
    <w:p>
      <w:pPr>
        <w:pStyle w:val="ListBullet"/>
        <w:spacing w:after="60"/>
      </w:pPr>
      <w:r>
        <w:rPr>
          <w:rFonts w:ascii="Calibri" w:hAnsi="Calibri"/>
          <w:color w:val="1A1A2E"/>
          <w:sz w:val="21"/>
        </w:rPr>
        <w:t>Complete employee master data with personal, contact, and emergency information</w:t>
      </w:r>
    </w:p>
    <w:p>
      <w:pPr>
        <w:pStyle w:val="ListBullet"/>
        <w:spacing w:after="60"/>
      </w:pPr>
      <w:r>
        <w:rPr>
          <w:rFonts w:ascii="Calibri" w:hAnsi="Calibri"/>
          <w:color w:val="1A1A2E"/>
          <w:sz w:val="21"/>
        </w:rPr>
        <w:t>Department assignment, employment type, and joining date tracking</w:t>
      </w:r>
    </w:p>
    <w:p>
      <w:pPr>
        <w:pStyle w:val="ListBullet"/>
        <w:spacing w:after="60"/>
      </w:pPr>
      <w:r>
        <w:rPr>
          <w:rFonts w:ascii="Calibri" w:hAnsi="Calibri"/>
          <w:color w:val="1A1A2E"/>
          <w:sz w:val="21"/>
        </w:rPr>
        <w:t>Doctor-specific fields: medical license number, license expiry, specialty, consultation fees</w:t>
      </w:r>
    </w:p>
    <w:p>
      <w:pPr>
        <w:pStyle w:val="ListBullet"/>
        <w:spacing w:after="60"/>
      </w:pPr>
      <w:r>
        <w:rPr>
          <w:rFonts w:ascii="Calibri" w:hAnsi="Calibri"/>
          <w:color w:val="1A1A2E"/>
          <w:sz w:val="21"/>
        </w:rPr>
        <w:t>Salary information management with component-level breakdown</w:t>
      </w:r>
    </w:p>
    <w:p>
      <w:pPr>
        <w:spacing w:after="40" w:before="120"/>
      </w:pPr>
      <w:r>
        <w:rPr>
          <w:rFonts w:ascii="Calibri" w:hAnsi="Calibri"/>
          <w:b/>
          <w:color w:val="005B96"/>
          <w:sz w:val="21"/>
        </w:rPr>
        <w:t>Attendance &amp; Leave Management</w:t>
      </w:r>
    </w:p>
    <w:p>
      <w:pPr>
        <w:pStyle w:val="ListBullet"/>
        <w:spacing w:after="60"/>
      </w:pPr>
      <w:r>
        <w:rPr>
          <w:rFonts w:ascii="Calibri" w:hAnsi="Calibri"/>
          <w:color w:val="1A1A2E"/>
          <w:sz w:val="21"/>
        </w:rPr>
        <w:t>Daily in/out time entry with manual attendance marking capability</w:t>
      </w:r>
    </w:p>
    <w:p>
      <w:pPr>
        <w:pStyle w:val="ListBullet"/>
        <w:spacing w:after="60"/>
      </w:pPr>
      <w:r>
        <w:rPr>
          <w:rFonts w:ascii="Calibri" w:hAnsi="Calibri"/>
          <w:color w:val="1A1A2E"/>
          <w:sz w:val="21"/>
        </w:rPr>
        <w:t>Monthly attendance calendar view with comprehensive status tracking (Present, Absent, Leave, Holiday)</w:t>
      </w:r>
    </w:p>
    <w:p>
      <w:pPr>
        <w:pStyle w:val="ListBullet"/>
        <w:spacing w:after="60"/>
      </w:pPr>
      <w:r>
        <w:rPr>
          <w:rFonts w:ascii="Calibri" w:hAnsi="Calibri"/>
          <w:color w:val="1A1A2E"/>
          <w:sz w:val="21"/>
        </w:rPr>
        <w:t>Configurable leave types (CL, SL, EL) with balance tracking and approval workflows</w:t>
      </w:r>
    </w:p>
    <w:p>
      <w:pPr>
        <w:pStyle w:val="ListBullet"/>
        <w:spacing w:after="60"/>
      </w:pPr>
      <w:r>
        <w:rPr>
          <w:rFonts w:ascii="Calibri" w:hAnsi="Calibri"/>
          <w:color w:val="1A1A2E"/>
          <w:sz w:val="21"/>
        </w:rPr>
        <w:t>Manager approval workflow with leave history tracking and calendar view</w:t>
      </w:r>
    </w:p>
    <w:p>
      <w:pPr>
        <w:spacing w:after="40" w:before="120"/>
      </w:pPr>
      <w:r>
        <w:rPr>
          <w:rFonts w:ascii="Calibri" w:hAnsi="Calibri"/>
          <w:b/>
          <w:color w:val="005B96"/>
          <w:sz w:val="21"/>
        </w:rPr>
        <w:t>Shift &amp; Payroll</w:t>
      </w:r>
    </w:p>
    <w:p>
      <w:pPr>
        <w:pStyle w:val="ListBullet"/>
        <w:spacing w:after="60"/>
      </w:pPr>
      <w:r>
        <w:rPr>
          <w:rFonts w:ascii="Calibri" w:hAnsi="Calibri"/>
          <w:color w:val="1A1A2E"/>
          <w:sz w:val="21"/>
        </w:rPr>
        <w:t>Shift pattern definition with timing configuration and staff assignment</w:t>
      </w:r>
    </w:p>
    <w:p>
      <w:pPr>
        <w:pStyle w:val="ListBullet"/>
        <w:spacing w:after="60"/>
      </w:pPr>
      <w:r>
        <w:rPr>
          <w:rFonts w:ascii="Calibri" w:hAnsi="Calibri"/>
          <w:color w:val="1A1A2E"/>
          <w:sz w:val="21"/>
        </w:rPr>
        <w:t>Shift rotation schedules and change request management</w:t>
      </w:r>
    </w:p>
    <w:p>
      <w:pPr>
        <w:pStyle w:val="ListBullet"/>
        <w:spacing w:after="60"/>
      </w:pPr>
      <w:r>
        <w:rPr>
          <w:rFonts w:ascii="Calibri" w:hAnsi="Calibri"/>
          <w:color w:val="1A1A2E"/>
          <w:sz w:val="21"/>
        </w:rPr>
        <w:t>Employee salary details with component breakdown (Basic, Allowances, Deductions)</w:t>
      </w:r>
    </w:p>
    <w:p>
      <w:pPr>
        <w:pStyle w:val="ListBullet"/>
        <w:spacing w:after="60"/>
      </w:pPr>
      <w:r>
        <w:rPr>
          <w:rFonts w:ascii="Calibri" w:hAnsi="Calibri"/>
          <w:color w:val="1A1A2E"/>
          <w:sz w:val="21"/>
        </w:rPr>
        <w:t>Month-wise payment records and salary slip generation</w:t>
      </w:r>
    </w:p>
    <w:p>
      <w:pPr>
        <w:spacing w:before="80" w:after="80"/>
        <w:pBdr>
          <w:bottom w:val="single" w:sz="6" w:space="1" w:color="0096C7"/>
        </w:pBdr>
      </w:pPr>
    </w:p>
    <w:p>
      <w:pPr>
        <w:pStyle w:val="Heading2"/>
        <w:spacing w:before="280" w:after="80"/>
        <w:jc w:val="left"/>
      </w:pPr>
      <w:r>
        <w:rPr>
          <w:rFonts w:ascii="Calibri" w:hAnsi="Calibri"/>
          <w:color w:val="005B96"/>
        </w:rPr>
        <w:t>4.4  OPD Manager</w:t>
      </w:r>
    </w:p>
    <w:p>
      <w:pPr>
        <w:spacing w:after="80"/>
      </w:pPr>
      <w:r>
        <w:rPr>
          <w:rFonts w:ascii="Calibri" w:hAnsi="Calibri"/>
          <w:i/>
          <w:color w:val="0096C7"/>
          <w:sz w:val="20"/>
        </w:rPr>
        <w:t>Outpatient Department Operations Hub</w:t>
      </w:r>
    </w:p>
    <w:p>
      <w:pPr>
        <w:spacing w:after="120"/>
        <w:jc w:val="both"/>
      </w:pPr>
      <w:r>
        <w:rPr>
          <w:rFonts w:ascii="Calibri" w:hAnsi="Calibri"/>
          <w:b w:val="0"/>
          <w:i w:val="0"/>
          <w:color w:val="1A1A2E"/>
          <w:sz w:val="22"/>
        </w:rPr>
        <w:t>The OPD Manager module provides operational oversight of the outpatient department, including doctor scheduling, queue management, appointment oversight, and performance analytics.</w:t>
      </w:r>
    </w:p>
    <w:p>
      <w:pPr>
        <w:spacing w:after="40" w:before="120"/>
      </w:pPr>
      <w:r>
        <w:rPr>
          <w:rFonts w:ascii="Calibri" w:hAnsi="Calibri"/>
          <w:b/>
          <w:color w:val="005B96"/>
          <w:sz w:val="21"/>
        </w:rPr>
        <w:t>Operational Management</w:t>
      </w:r>
    </w:p>
    <w:p>
      <w:pPr>
        <w:pStyle w:val="ListBullet"/>
        <w:spacing w:after="60"/>
      </w:pPr>
      <w:r>
        <w:rPr>
          <w:rFonts w:ascii="Calibri" w:hAnsi="Calibri"/>
          <w:color w:val="1A1A2E"/>
          <w:sz w:val="21"/>
        </w:rPr>
        <w:t>Daily patient count monitoring with doctor schedule overview and performance metrics</w:t>
      </w:r>
    </w:p>
    <w:p>
      <w:pPr>
        <w:pStyle w:val="ListBullet"/>
        <w:spacing w:after="60"/>
      </w:pPr>
      <w:r>
        <w:rPr>
          <w:rFonts w:ascii="Calibri" w:hAnsi="Calibri"/>
          <w:color w:val="1A1A2E"/>
          <w:sz w:val="21"/>
        </w:rPr>
        <w:t>Appointment management with bulk creation, slot preview, and modification capabilities</w:t>
      </w:r>
    </w:p>
    <w:p>
      <w:pPr>
        <w:pStyle w:val="ListBullet"/>
        <w:spacing w:after="60"/>
      </w:pPr>
      <w:r>
        <w:rPr>
          <w:rFonts w:ascii="Calibri" w:hAnsi="Calibri"/>
          <w:color w:val="1A1A2E"/>
          <w:sz w:val="21"/>
        </w:rPr>
        <w:t>Doctor roster management with leave integration and buffer time configuration</w:t>
      </w:r>
    </w:p>
    <w:p>
      <w:pPr>
        <w:pStyle w:val="ListBullet"/>
        <w:spacing w:after="60"/>
      </w:pPr>
      <w:r>
        <w:rPr>
          <w:rFonts w:ascii="Calibri" w:hAnsi="Calibri"/>
          <w:color w:val="1A1A2E"/>
          <w:sz w:val="21"/>
        </w:rPr>
        <w:t>Real-time queue monitoring with drag-drop reordering and priority queue support</w:t>
      </w:r>
    </w:p>
    <w:p>
      <w:pPr>
        <w:pStyle w:val="ListBullet"/>
        <w:spacing w:after="60"/>
      </w:pPr>
      <w:r>
        <w:rPr>
          <w:rFonts w:ascii="Calibri" w:hAnsi="Calibri"/>
          <w:color w:val="1A1A2E"/>
          <w:sz w:val="21"/>
        </w:rPr>
        <w:t>Emergency patient handling with priority override capabilities</w:t>
      </w:r>
    </w:p>
    <w:p>
      <w:pPr>
        <w:spacing w:after="40" w:before="120"/>
      </w:pPr>
      <w:r>
        <w:rPr>
          <w:rFonts w:ascii="Calibri" w:hAnsi="Calibri"/>
          <w:b/>
          <w:color w:val="005B96"/>
          <w:sz w:val="21"/>
        </w:rPr>
        <w:t>OPD Analytics &amp; Reporting</w:t>
      </w:r>
    </w:p>
    <w:p>
      <w:pPr>
        <w:pStyle w:val="ListBullet"/>
        <w:spacing w:after="60"/>
      </w:pPr>
      <w:r>
        <w:rPr>
          <w:rFonts w:ascii="Calibri" w:hAnsi="Calibri"/>
          <w:color w:val="1A1A2E"/>
          <w:sz w:val="21"/>
        </w:rPr>
        <w:t>Daily census reports with doctor-wise patient counts</w:t>
      </w:r>
    </w:p>
    <w:p>
      <w:pPr>
        <w:pStyle w:val="ListBullet"/>
        <w:spacing w:after="60"/>
      </w:pPr>
      <w:r>
        <w:rPr>
          <w:rFonts w:ascii="Calibri" w:hAnsi="Calibri"/>
          <w:color w:val="1A1A2E"/>
          <w:sz w:val="21"/>
        </w:rPr>
        <w:t>Specialty-wise patient distribution analysis</w:t>
      </w:r>
    </w:p>
    <w:p>
      <w:pPr>
        <w:pStyle w:val="ListBullet"/>
        <w:spacing w:after="60"/>
      </w:pPr>
      <w:r>
        <w:rPr>
          <w:rFonts w:ascii="Calibri" w:hAnsi="Calibri"/>
          <w:color w:val="1A1A2E"/>
          <w:sz w:val="21"/>
        </w:rPr>
        <w:t>Peak hour analysis for staffing optimization</w:t>
      </w:r>
    </w:p>
    <w:p>
      <w:pPr>
        <w:pStyle w:val="ListBullet"/>
        <w:spacing w:after="60"/>
      </w:pPr>
      <w:r>
        <w:rPr>
          <w:rFonts w:ascii="Calibri" w:hAnsi="Calibri"/>
          <w:color w:val="1A1A2E"/>
          <w:sz w:val="21"/>
        </w:rPr>
        <w:t>Appointment slot configuration with max appointments per slot settings</w:t>
      </w:r>
    </w:p>
    <w:p>
      <w:pPr>
        <w:spacing w:before="80" w:after="80"/>
        <w:pBdr>
          <w:bottom w:val="single" w:sz="6" w:space="1" w:color="0096C7"/>
        </w:pBdr>
      </w:pPr>
    </w:p>
    <w:p>
      <w:r>
        <w:br w:type="page"/>
      </w:r>
    </w:p>
    <w:p>
      <w:pPr>
        <w:pStyle w:val="Heading1"/>
        <w:spacing w:before="360" w:after="120"/>
        <w:jc w:val="left"/>
      </w:pPr>
      <w:r>
        <w:rPr>
          <w:rFonts w:ascii="Calibri" w:hAnsi="Calibri"/>
          <w:color w:val="005B96"/>
        </w:rPr>
        <w:t>5. Administration &amp; Configuration</w:t>
      </w:r>
    </w:p>
    <w:p>
      <w:pPr>
        <w:spacing w:before="80" w:after="80"/>
        <w:pBdr>
          <w:bottom w:val="single" w:sz="6" w:space="1" w:color="0096C7"/>
        </w:pBdr>
      </w:pPr>
    </w:p>
    <w:p>
      <w:pPr>
        <w:spacing w:after="120"/>
        <w:jc w:val="both"/>
      </w:pPr>
      <w:r>
        <w:rPr>
          <w:rFonts w:ascii="Calibri" w:hAnsi="Calibri"/>
          <w:b w:val="0"/>
          <w:i w:val="0"/>
          <w:color w:val="1A1A2E"/>
          <w:sz w:val="22"/>
        </w:rPr>
        <w:t>HospitalOS provides a powerful administration panel with over 30 configuration pages that allow hospital administrators to tailor the platform to their institution’s unique requirements. Every aspect of the system — from branding and department structure to notification rules and document templates — is configurable without touching a line of code.</w:t>
      </w:r>
    </w:p>
    <w:p>
      <w:pPr>
        <w:pStyle w:val="Heading2"/>
        <w:spacing w:before="200" w:after="120"/>
        <w:jc w:val="left"/>
      </w:pPr>
      <w:r>
        <w:rPr>
          <w:rFonts w:ascii="Calibri" w:hAnsi="Calibri"/>
          <w:color w:val="0096C7"/>
        </w:rPr>
        <w:t>Admin Dashboard</w:t>
      </w:r>
    </w:p>
    <w:p>
      <w:pPr>
        <w:spacing w:after="120"/>
        <w:jc w:val="both"/>
      </w:pPr>
      <w:r>
        <w:rPr>
          <w:rFonts w:ascii="Calibri" w:hAnsi="Calibri"/>
          <w:b w:val="0"/>
          <w:i w:val="0"/>
          <w:color w:val="1A1A2E"/>
          <w:sz w:val="22"/>
        </w:rPr>
        <w:t>The Admin Dashboard provides a real-time command center with KPI cards showing patients today, IPD admissions, lab queue depth, and revenue. It includes bed occupancy visualization with a ring chart, ward-wise bed breakdown, 7-day patient flow trends, revenue breakdown by department, inventory alerts (low stock and expiring items), and a live audit trail feed.</w:t>
      </w:r>
    </w:p>
    <w:p>
      <w:pPr>
        <w:spacing w:after="40" w:before="120"/>
      </w:pPr>
      <w:r>
        <w:rPr>
          <w:b/>
          <w:color w:val="005B96"/>
          <w:sz w:val="21"/>
        </w:rPr>
        <w:t>Hospital &amp; Branding Configuration</w:t>
      </w:r>
    </w:p>
    <w:p>
      <w:pPr>
        <w:pStyle w:val="ListBullet"/>
        <w:spacing w:after="60"/>
      </w:pPr>
      <w:r>
        <w:rPr>
          <w:rFonts w:ascii="Calibri" w:hAnsi="Calibri"/>
          <w:color w:val="1A1A2E"/>
          <w:sz w:val="21"/>
        </w:rPr>
        <w:t>Hospital identity setup: name, code, address, type (General, Multi-Specialty, Super-Specialty, Clinic, Nursing Home)</w:t>
      </w:r>
    </w:p>
    <w:p>
      <w:pPr>
        <w:pStyle w:val="ListBullet"/>
        <w:spacing w:after="60"/>
      </w:pPr>
      <w:r>
        <w:rPr>
          <w:rFonts w:ascii="Calibri" w:hAnsi="Calibri"/>
          <w:color w:val="1A1A2E"/>
          <w:sz w:val="21"/>
        </w:rPr>
        <w:t>License number, NABH/NABL/JCI accreditation details, and regulatory information</w:t>
      </w:r>
    </w:p>
    <w:p>
      <w:pPr>
        <w:pStyle w:val="ListBullet"/>
        <w:spacing w:after="60"/>
      </w:pPr>
      <w:r>
        <w:rPr>
          <w:rFonts w:ascii="Calibri" w:hAnsi="Calibri"/>
          <w:color w:val="1A1A2E"/>
          <w:sz w:val="21"/>
        </w:rPr>
        <w:t>Custom logo upload with primary/secondary color theming</w:t>
      </w:r>
    </w:p>
    <w:p>
      <w:pPr>
        <w:pStyle w:val="ListBullet"/>
        <w:spacing w:after="60"/>
      </w:pPr>
      <w:r>
        <w:rPr>
          <w:rFonts w:ascii="Calibri" w:hAnsi="Calibri"/>
          <w:color w:val="1A1A2E"/>
          <w:sz w:val="21"/>
        </w:rPr>
        <w:t>Portal title, subtitle, footer text, and theme customization</w:t>
      </w:r>
    </w:p>
    <w:p>
      <w:pPr>
        <w:pStyle w:val="ListBullet"/>
        <w:spacing w:after="60"/>
      </w:pPr>
      <w:r>
        <w:rPr>
          <w:rFonts w:ascii="Calibri" w:hAnsi="Calibri"/>
          <w:color w:val="1A1A2E"/>
          <w:sz w:val="21"/>
        </w:rPr>
        <w:t>UHID prefix/format configuration, timezone, currency, and date format settings</w:t>
      </w:r>
    </w:p>
    <w:p>
      <w:pPr>
        <w:spacing w:after="40" w:before="120"/>
      </w:pPr>
      <w:r>
        <w:rPr>
          <w:b/>
          <w:color w:val="005B96"/>
          <w:sz w:val="21"/>
        </w:rPr>
        <w:t>User &amp; Access Management</w:t>
      </w:r>
    </w:p>
    <w:p>
      <w:pPr>
        <w:pStyle w:val="ListBullet"/>
        <w:spacing w:after="60"/>
      </w:pPr>
      <w:r>
        <w:rPr>
          <w:rFonts w:ascii="Calibri" w:hAnsi="Calibri"/>
          <w:color w:val="1A1A2E"/>
          <w:sz w:val="21"/>
        </w:rPr>
        <w:t>Custom role creation with granular permission-based access control</w:t>
      </w:r>
    </w:p>
    <w:p>
      <w:pPr>
        <w:pStyle w:val="ListBullet"/>
        <w:spacing w:after="60"/>
      </w:pPr>
      <w:r>
        <w:rPr>
          <w:rFonts w:ascii="Calibri" w:hAnsi="Calibri"/>
          <w:color w:val="1A1A2E"/>
          <w:sz w:val="21"/>
        </w:rPr>
        <w:t>Data scope configuration per role: Own, Department, Branch, or Organization level</w:t>
      </w:r>
    </w:p>
    <w:p>
      <w:pPr>
        <w:pStyle w:val="ListBullet"/>
        <w:spacing w:after="60"/>
      </w:pPr>
      <w:r>
        <w:rPr>
          <w:rFonts w:ascii="Calibri" w:hAnsi="Calibri"/>
          <w:color w:val="1A1A2E"/>
          <w:sz w:val="21"/>
        </w:rPr>
        <w:t>Module-level visibility controls per user role</w:t>
      </w:r>
    </w:p>
    <w:p>
      <w:pPr>
        <w:pStyle w:val="ListBullet"/>
        <w:spacing w:after="60"/>
      </w:pPr>
      <w:r>
        <w:rPr>
          <w:rFonts w:ascii="Calibri" w:hAnsi="Calibri"/>
          <w:color w:val="1A1A2E"/>
          <w:sz w:val="21"/>
        </w:rPr>
        <w:t>Multi-branch support with branch-specific configurations and main branch designation</w:t>
      </w:r>
    </w:p>
    <w:p>
      <w:pPr>
        <w:pStyle w:val="ListBullet"/>
        <w:spacing w:after="60"/>
      </w:pPr>
      <w:r>
        <w:rPr>
          <w:rFonts w:ascii="Calibri" w:hAnsi="Calibri"/>
          <w:color w:val="1A1A2E"/>
          <w:sz w:val="21"/>
        </w:rPr>
        <w:t>Department management with department head assignment and specialty categorization</w:t>
      </w:r>
    </w:p>
    <w:p>
      <w:pPr>
        <w:spacing w:after="40" w:before="120"/>
      </w:pPr>
      <w:r>
        <w:rPr>
          <w:b/>
          <w:color w:val="005B96"/>
          <w:sz w:val="21"/>
        </w:rPr>
        <w:t>Feature Toggles &amp; Integrations</w:t>
      </w:r>
    </w:p>
    <w:p>
      <w:pPr>
        <w:pStyle w:val="ListBullet"/>
        <w:spacing w:after="60"/>
      </w:pPr>
      <w:r>
        <w:rPr>
          <w:rFonts w:ascii="Calibri" w:hAnsi="Calibri"/>
          <w:color w:val="1A1A2E"/>
          <w:sz w:val="21"/>
        </w:rPr>
        <w:t>WhatsApp notifications, Razorpay payment gateway, and AI triage engine — toggle on/off</w:t>
      </w:r>
    </w:p>
    <w:p>
      <w:pPr>
        <w:pStyle w:val="ListBullet"/>
        <w:spacing w:after="60"/>
      </w:pPr>
      <w:r>
        <w:rPr>
          <w:rFonts w:ascii="Calibri" w:hAnsi="Calibri"/>
          <w:color w:val="1A1A2E"/>
          <w:sz w:val="21"/>
        </w:rPr>
        <w:t>OpenAI API key configuration for AI-powered features</w:t>
      </w:r>
    </w:p>
    <w:p>
      <w:pPr>
        <w:pStyle w:val="ListBullet"/>
        <w:spacing w:after="60"/>
      </w:pPr>
      <w:r>
        <w:rPr>
          <w:rFonts w:ascii="Calibri" w:hAnsi="Calibri"/>
          <w:color w:val="1A1A2E"/>
          <w:sz w:val="21"/>
        </w:rPr>
        <w:t>SMTP email configuration for transactional notifications</w:t>
      </w:r>
    </w:p>
    <w:p>
      <w:pPr>
        <w:pStyle w:val="ListBullet"/>
        <w:spacing w:after="60"/>
      </w:pPr>
      <w:r>
        <w:rPr>
          <w:rFonts w:ascii="Calibri" w:hAnsi="Calibri"/>
          <w:color w:val="1A1A2E"/>
          <w:sz w:val="21"/>
        </w:rPr>
        <w:t>Zealthix API key management for insurance integration</w:t>
      </w:r>
    </w:p>
    <w:p>
      <w:pPr>
        <w:spacing w:after="40" w:before="120"/>
      </w:pPr>
      <w:r>
        <w:rPr>
          <w:b/>
          <w:color w:val="005B96"/>
          <w:sz w:val="21"/>
        </w:rPr>
        <w:t>Alerts, Notifications &amp; Templates</w:t>
      </w:r>
    </w:p>
    <w:p>
      <w:pPr>
        <w:pStyle w:val="ListBullet"/>
        <w:spacing w:after="60"/>
      </w:pPr>
      <w:r>
        <w:rPr>
          <w:rFonts w:ascii="Calibri" w:hAnsi="Calibri"/>
          <w:color w:val="1A1A2E"/>
          <w:sz w:val="21"/>
        </w:rPr>
        <w:t>Alert rule engine with categories: Clinical, Operational, Financial, Staff, Patient, System</w:t>
      </w:r>
    </w:p>
    <w:p>
      <w:pPr>
        <w:pStyle w:val="ListBullet"/>
        <w:spacing w:after="60"/>
      </w:pPr>
      <w:r>
        <w:rPr>
          <w:rFonts w:ascii="Calibri" w:hAnsi="Calibri"/>
          <w:color w:val="1A1A2E"/>
          <w:sz w:val="21"/>
        </w:rPr>
        <w:t>Configurable trigger events, thresholds, and escalation rules with quiet hours</w:t>
      </w:r>
    </w:p>
    <w:p>
      <w:pPr>
        <w:pStyle w:val="ListBullet"/>
        <w:spacing w:after="60"/>
      </w:pPr>
      <w:r>
        <w:rPr>
          <w:rFonts w:ascii="Calibri" w:hAnsi="Calibri"/>
          <w:color w:val="1A1A2E"/>
          <w:sz w:val="21"/>
        </w:rPr>
        <w:t>Multi-channel notification: In-App, Email, SMS, and WhatsApp</w:t>
      </w:r>
    </w:p>
    <w:p>
      <w:pPr>
        <w:pStyle w:val="ListBullet"/>
        <w:spacing w:after="60"/>
      </w:pPr>
      <w:r>
        <w:rPr>
          <w:rFonts w:ascii="Calibri" w:hAnsi="Calibri"/>
          <w:color w:val="1A1A2E"/>
          <w:sz w:val="21"/>
        </w:rPr>
        <w:t>Document template management: Prescriptions, Invoices, Discharge Summaries, Lab Reports, Consent Forms, Referrals, Medical Certificates</w:t>
      </w:r>
    </w:p>
    <w:p>
      <w:pPr>
        <w:spacing w:after="40" w:before="120"/>
      </w:pPr>
      <w:r>
        <w:rPr>
          <w:b/>
          <w:color w:val="005B96"/>
          <w:sz w:val="21"/>
        </w:rPr>
        <w:t>Workflows, Analytics &amp; Data Management</w:t>
      </w:r>
    </w:p>
    <w:p>
      <w:pPr>
        <w:pStyle w:val="ListBullet"/>
        <w:spacing w:after="60"/>
      </w:pPr>
      <w:r>
        <w:rPr>
          <w:rFonts w:ascii="Calibri" w:hAnsi="Calibri"/>
          <w:color w:val="1A1A2E"/>
          <w:sz w:val="21"/>
        </w:rPr>
        <w:t>Approval workflow configuration with multi-step process automation</w:t>
      </w:r>
    </w:p>
    <w:p>
      <w:pPr>
        <w:pStyle w:val="ListBullet"/>
        <w:spacing w:after="60"/>
      </w:pPr>
      <w:r>
        <w:rPr>
          <w:rFonts w:ascii="Calibri" w:hAnsi="Calibri"/>
          <w:color w:val="1A1A2E"/>
          <w:sz w:val="21"/>
        </w:rPr>
        <w:t>Hospital-wide analytics: patient flow, revenue, staff utilization, department performance</w:t>
      </w:r>
    </w:p>
    <w:p>
      <w:pPr>
        <w:pStyle w:val="ListBullet"/>
        <w:spacing w:after="60"/>
      </w:pPr>
      <w:r>
        <w:rPr>
          <w:rFonts w:ascii="Calibri" w:hAnsi="Calibri"/>
          <w:color w:val="1A1A2E"/>
          <w:sz w:val="21"/>
        </w:rPr>
        <w:t>Custom report builder with PDF and Excel/XLSX export capability</w:t>
      </w:r>
    </w:p>
    <w:p>
      <w:pPr>
        <w:pStyle w:val="ListBullet"/>
        <w:spacing w:after="60"/>
      </w:pPr>
      <w:r>
        <w:rPr>
          <w:rFonts w:ascii="Calibri" w:hAnsi="Calibri"/>
          <w:color w:val="1A1A2E"/>
          <w:sz w:val="21"/>
        </w:rPr>
        <w:t>Bulk data import for patients, doctors, medicines with template-based import</w:t>
      </w:r>
    </w:p>
    <w:p>
      <w:pPr>
        <w:pStyle w:val="ListBullet"/>
        <w:spacing w:after="60"/>
      </w:pPr>
      <w:r>
        <w:rPr>
          <w:rFonts w:ascii="Calibri" w:hAnsi="Calibri"/>
          <w:color w:val="1A1A2E"/>
          <w:sz w:val="21"/>
        </w:rPr>
        <w:t>Archive management and data export functionality</w:t>
      </w:r>
    </w:p>
    <w:p>
      <w:pPr>
        <w:pStyle w:val="ListBullet"/>
        <w:spacing w:after="60"/>
      </w:pPr>
      <w:r>
        <w:rPr>
          <w:rFonts w:ascii="Calibri" w:hAnsi="Calibri"/>
          <w:color w:val="1A1A2E"/>
          <w:sz w:val="21"/>
        </w:rPr>
        <w:t>Complete system audit logging: user actions, data modifications, login/logout, IP tracking</w:t>
      </w:r>
    </w:p>
    <w:p>
      <w:r>
        <w:br w:type="page"/>
      </w:r>
    </w:p>
    <w:p>
      <w:pPr>
        <w:pStyle w:val="Heading1"/>
        <w:spacing w:before="360" w:after="120"/>
        <w:jc w:val="left"/>
      </w:pPr>
      <w:r>
        <w:rPr>
          <w:rFonts w:ascii="Calibri" w:hAnsi="Calibri"/>
          <w:color w:val="005B96"/>
        </w:rPr>
        <w:t>6. Patient Portal — The Patient-Facing Application</w:t>
      </w:r>
    </w:p>
    <w:p>
      <w:pPr>
        <w:spacing w:before="80" w:after="80"/>
        <w:pBdr>
          <w:bottom w:val="single" w:sz="6" w:space="1" w:color="0096C7"/>
        </w:pBdr>
      </w:pPr>
    </w:p>
    <w:p>
      <w:pPr>
        <w:spacing w:after="120"/>
        <w:jc w:val="both"/>
      </w:pPr>
      <w:r>
        <w:rPr>
          <w:rFonts w:ascii="Calibri" w:hAnsi="Calibri"/>
          <w:b w:val="0"/>
          <w:i w:val="0"/>
          <w:color w:val="1A1A2E"/>
          <w:sz w:val="22"/>
        </w:rPr>
        <w:t>HospitalOS includes a full-featured, mobile-optimized Patient Portal that empowers patients to take an active role in their healthcare journey. From booking appointments and viewing lab results to making online payments and tracking vital signs, the portal provides a transparent, accessible, and engaging experience that builds patient loyalty and reduces administrative burden.</w:t>
      </w:r>
    </w:p>
    <w:tbl>
      <w:tblPr>
        <w:tblW w:type="auto" w:w="0"/>
        <w:jc w:val="center"/>
        <w:tblLook w:firstColumn="1" w:firstRow="1" w:lastColumn="0" w:lastRow="0" w:noHBand="0" w:noVBand="1" w:val="04A0"/>
      </w:tblPr>
      <w:tblGrid>
        <w:gridCol w:w="9360"/>
      </w:tblGrid>
      <w:tr>
        <w:tc>
          <w:tcPr>
            <w:tcW w:type="dxa" w:w="9360"/>
            <w:shd w:fill="E8F4FD" w:val="clear"/>
            <w:tcMar>
              <w:top w:w="120" w:type="dxa"/>
              <w:bottom w:w="120" w:type="dxa"/>
              <w:left w:w="200" w:type="dxa"/>
              <w:right w:w="200" w:type="dxa"/>
            </w:tcMar>
            <w:tcBorders>
              <w:top w:val="none" w:sz="0" w:space="0"/>
              <w:bottom w:val="none" w:sz="0" w:space="0"/>
              <w:left w:val="none" w:sz="0" w:space="0"/>
              <w:right w:val="none" w:sz="0" w:space="0"/>
            </w:tcBorders>
          </w:tcPr>
          <w:p>
            <w:pPr>
              <w:jc w:val="center"/>
            </w:pPr>
            <w:r/>
            <w:r>
              <w:rPr>
                <w:rFonts w:ascii="Calibri" w:hAnsi="Calibri"/>
                <w:i/>
                <w:color w:val="005B96"/>
                <w:sz w:val="22"/>
              </w:rPr>
              <w:t>Empower your patients with 24/7 digital access to their health information, appointments, and payments.</w:t>
            </w:r>
          </w:p>
        </w:tc>
      </w:tr>
    </w:tbl>
    <w:p>
      <w:pPr>
        <w:spacing w:after="40"/>
      </w:pPr>
    </w:p>
    <w:p>
      <w:pPr>
        <w:spacing w:after="40" w:before="120"/>
      </w:pPr>
      <w:r>
        <w:rPr>
          <w:b/>
          <w:color w:val="005B96"/>
          <w:sz w:val="21"/>
        </w:rPr>
        <w:t>Authentication &amp; Onboarding</w:t>
      </w:r>
    </w:p>
    <w:p>
      <w:pPr>
        <w:pStyle w:val="ListBullet"/>
        <w:spacing w:after="60"/>
      </w:pPr>
      <w:r>
        <w:rPr>
          <w:rFonts w:ascii="Calibri" w:hAnsi="Calibri"/>
          <w:color w:val="1A1A2E"/>
          <w:sz w:val="21"/>
        </w:rPr>
        <w:t>UHID card number-based patient login with secure password authentication</w:t>
      </w:r>
    </w:p>
    <w:p>
      <w:pPr>
        <w:pStyle w:val="ListBullet"/>
        <w:spacing w:after="60"/>
      </w:pPr>
      <w:r>
        <w:rPr>
          <w:rFonts w:ascii="Calibri" w:hAnsi="Calibri"/>
          <w:color w:val="1A1A2E"/>
          <w:sz w:val="21"/>
        </w:rPr>
        <w:t>Email-based initial password setup link for first-time patient onboarding</w:t>
      </w:r>
    </w:p>
    <w:p>
      <w:pPr>
        <w:pStyle w:val="ListBullet"/>
        <w:spacing w:after="60"/>
      </w:pPr>
      <w:r>
        <w:rPr>
          <w:rFonts w:ascii="Calibri" w:hAnsi="Calibri"/>
          <w:color w:val="1A1A2E"/>
          <w:sz w:val="21"/>
        </w:rPr>
        <w:t>Forgot password recovery with OTP verification</w:t>
      </w:r>
    </w:p>
    <w:p>
      <w:pPr>
        <w:spacing w:after="40" w:before="120"/>
      </w:pPr>
      <w:r>
        <w:rPr>
          <w:b/>
          <w:color w:val="005B96"/>
          <w:sz w:val="21"/>
        </w:rPr>
        <w:t>Dashboard &amp; Health Overview</w:t>
      </w:r>
    </w:p>
    <w:p>
      <w:pPr>
        <w:pStyle w:val="ListBullet"/>
        <w:spacing w:after="60"/>
      </w:pPr>
      <w:r>
        <w:rPr>
          <w:rFonts w:ascii="Calibri" w:hAnsi="Calibri"/>
          <w:color w:val="1A1A2E"/>
          <w:sz w:val="21"/>
        </w:rPr>
        <w:t>Personalized health summary with upcoming appointments and recent lab results</w:t>
      </w:r>
    </w:p>
    <w:p>
      <w:pPr>
        <w:pStyle w:val="ListBullet"/>
        <w:spacing w:after="60"/>
      </w:pPr>
      <w:r>
        <w:rPr>
          <w:rFonts w:ascii="Calibri" w:hAnsi="Calibri"/>
          <w:color w:val="1A1A2E"/>
          <w:sz w:val="21"/>
        </w:rPr>
        <w:t>Active prescriptions display with quick navigation to key features</w:t>
      </w:r>
    </w:p>
    <w:p>
      <w:pPr>
        <w:pStyle w:val="ListBullet"/>
        <w:spacing w:after="60"/>
      </w:pPr>
      <w:r>
        <w:rPr>
          <w:rFonts w:ascii="Calibri" w:hAnsi="Calibri"/>
          <w:color w:val="1A1A2E"/>
          <w:sz w:val="21"/>
        </w:rPr>
        <w:t>Notification center with appointment reminders, result alerts, and payment receipts</w:t>
      </w:r>
    </w:p>
    <w:p>
      <w:pPr>
        <w:spacing w:after="40" w:before="120"/>
      </w:pPr>
      <w:r>
        <w:rPr>
          <w:b/>
          <w:color w:val="005B96"/>
          <w:sz w:val="21"/>
        </w:rPr>
        <w:t>Appointments &amp; Consultation</w:t>
      </w:r>
    </w:p>
    <w:p>
      <w:pPr>
        <w:pStyle w:val="ListBullet"/>
        <w:spacing w:after="60"/>
      </w:pPr>
      <w:r>
        <w:rPr>
          <w:rFonts w:ascii="Calibri" w:hAnsi="Calibri"/>
          <w:color w:val="1A1A2E"/>
          <w:sz w:val="21"/>
        </w:rPr>
        <w:t>Self-service appointment booking with doctor selection and real-time slot availability</w:t>
      </w:r>
    </w:p>
    <w:p>
      <w:pPr>
        <w:pStyle w:val="ListBullet"/>
        <w:spacing w:after="60"/>
      </w:pPr>
      <w:r>
        <w:rPr>
          <w:rFonts w:ascii="Calibri" w:hAnsi="Calibri"/>
          <w:color w:val="1A1A2E"/>
          <w:sz w:val="21"/>
        </w:rPr>
        <w:t>Appointment rescheduling and cancellation with reason documentation</w:t>
      </w:r>
    </w:p>
    <w:p>
      <w:pPr>
        <w:pStyle w:val="ListBullet"/>
        <w:spacing w:after="60"/>
      </w:pPr>
      <w:r>
        <w:rPr>
          <w:rFonts w:ascii="Calibri" w:hAnsi="Calibri"/>
          <w:color w:val="1A1A2E"/>
          <w:sz w:val="21"/>
        </w:rPr>
        <w:t>Live queue position and estimated wait time display</w:t>
      </w:r>
    </w:p>
    <w:p>
      <w:pPr>
        <w:pStyle w:val="ListBullet"/>
        <w:spacing w:after="60"/>
      </w:pPr>
      <w:r>
        <w:rPr>
          <w:rFonts w:ascii="Calibri" w:hAnsi="Calibri"/>
          <w:color w:val="1A1A2E"/>
          <w:sz w:val="21"/>
        </w:rPr>
        <w:t>Video consultation option for telemedicine encounters</w:t>
      </w:r>
    </w:p>
    <w:p>
      <w:pPr>
        <w:spacing w:after="40" w:before="120"/>
      </w:pPr>
      <w:r>
        <w:rPr>
          <w:b/>
          <w:color w:val="005B96"/>
          <w:sz w:val="21"/>
        </w:rPr>
        <w:t>Lab Results &amp; Vitals</w:t>
      </w:r>
    </w:p>
    <w:p>
      <w:pPr>
        <w:pStyle w:val="ListBullet"/>
        <w:spacing w:after="60"/>
      </w:pPr>
      <w:r>
        <w:rPr>
          <w:rFonts w:ascii="Calibri" w:hAnsi="Calibri"/>
          <w:color w:val="1A1A2E"/>
          <w:sz w:val="21"/>
        </w:rPr>
        <w:t>Lab result viewing with color-coded normal range indicators and visual range bars</w:t>
      </w:r>
    </w:p>
    <w:p>
      <w:pPr>
        <w:pStyle w:val="ListBullet"/>
        <w:spacing w:after="60"/>
      </w:pPr>
      <w:r>
        <w:rPr>
          <w:rFonts w:ascii="Calibri" w:hAnsi="Calibri"/>
          <w:color w:val="1A1A2E"/>
          <w:sz w:val="21"/>
        </w:rPr>
        <w:t>AI-powered plain English interpretation of lab results for patient understanding</w:t>
      </w:r>
    </w:p>
    <w:p>
      <w:pPr>
        <w:pStyle w:val="ListBullet"/>
        <w:spacing w:after="60"/>
      </w:pPr>
      <w:r>
        <w:rPr>
          <w:rFonts w:ascii="Calibri" w:hAnsi="Calibri"/>
          <w:color w:val="1A1A2E"/>
          <w:sz w:val="21"/>
        </w:rPr>
        <w:t>Historical result comparison with trend charts for longitudinal health tracking</w:t>
      </w:r>
    </w:p>
    <w:p>
      <w:pPr>
        <w:pStyle w:val="ListBullet"/>
        <w:spacing w:after="60"/>
      </w:pPr>
      <w:r>
        <w:rPr>
          <w:rFonts w:ascii="Calibri" w:hAnsi="Calibri"/>
          <w:color w:val="1A1A2E"/>
          <w:sz w:val="21"/>
        </w:rPr>
        <w:t>Interactive vital signs charts (BP, Heart Rate, Temperature, SpO2) with time-range selection</w:t>
      </w:r>
    </w:p>
    <w:p>
      <w:pPr>
        <w:pStyle w:val="ListBullet"/>
        <w:spacing w:after="60"/>
      </w:pPr>
      <w:r>
        <w:rPr>
          <w:rFonts w:ascii="Calibri" w:hAnsi="Calibri"/>
          <w:color w:val="1A1A2E"/>
          <w:sz w:val="21"/>
        </w:rPr>
        <w:t>Anomaly detection highlighting concerning trends in patient’s health data</w:t>
      </w:r>
    </w:p>
    <w:p>
      <w:pPr>
        <w:spacing w:after="40" w:before="120"/>
      </w:pPr>
      <w:r>
        <w:rPr>
          <w:b/>
          <w:color w:val="005B96"/>
          <w:sz w:val="21"/>
        </w:rPr>
        <w:t>Prescriptions, Records &amp; Payments</w:t>
      </w:r>
    </w:p>
    <w:p>
      <w:pPr>
        <w:pStyle w:val="ListBullet"/>
        <w:spacing w:after="60"/>
      </w:pPr>
      <w:r>
        <w:rPr>
          <w:rFonts w:ascii="Calibri" w:hAnsi="Calibri"/>
          <w:color w:val="1A1A2E"/>
          <w:sz w:val="21"/>
        </w:rPr>
        <w:t>Current prescription viewing with medicine details, dosage, and duration</w:t>
      </w:r>
    </w:p>
    <w:p>
      <w:pPr>
        <w:pStyle w:val="ListBullet"/>
        <w:spacing w:after="60"/>
      </w:pPr>
      <w:r>
        <w:rPr>
          <w:rFonts w:ascii="Calibri" w:hAnsi="Calibri"/>
          <w:color w:val="1A1A2E"/>
          <w:sz w:val="21"/>
        </w:rPr>
        <w:t>Prescription PDF download and refill request capability</w:t>
      </w:r>
    </w:p>
    <w:p>
      <w:pPr>
        <w:pStyle w:val="ListBullet"/>
        <w:spacing w:after="60"/>
      </w:pPr>
      <w:r>
        <w:rPr>
          <w:rFonts w:ascii="Calibri" w:hAnsi="Calibri"/>
          <w:color w:val="1A1A2E"/>
          <w:sz w:val="21"/>
        </w:rPr>
        <w:t>Document vault for uploading and categorizing medical documents (scans, reports)</w:t>
      </w:r>
    </w:p>
    <w:p>
      <w:pPr>
        <w:pStyle w:val="ListBullet"/>
        <w:spacing w:after="60"/>
      </w:pPr>
      <w:r>
        <w:rPr>
          <w:rFonts w:ascii="Calibri" w:hAnsi="Calibri"/>
          <w:color w:val="1A1A2E"/>
          <w:sz w:val="21"/>
        </w:rPr>
        <w:t>Invoice history with outstanding balance tracking and payment status</w:t>
      </w:r>
    </w:p>
    <w:p>
      <w:pPr>
        <w:pStyle w:val="ListBullet"/>
        <w:spacing w:after="60"/>
      </w:pPr>
      <w:r>
        <w:rPr>
          <w:rFonts w:ascii="Calibri" w:hAnsi="Calibri"/>
          <w:color w:val="1A1A2E"/>
          <w:sz w:val="21"/>
        </w:rPr>
        <w:t>Online payment via Razorpay gateway with receipt download functionality</w:t>
      </w:r>
    </w:p>
    <w:p>
      <w:pPr>
        <w:spacing w:after="40" w:before="120"/>
      </w:pPr>
      <w:r>
        <w:rPr>
          <w:b/>
          <w:color w:val="005B96"/>
          <w:sz w:val="21"/>
        </w:rPr>
        <w:t>Profile, Privacy &amp; Engagement</w:t>
      </w:r>
    </w:p>
    <w:p>
      <w:pPr>
        <w:pStyle w:val="ListBullet"/>
        <w:spacing w:after="60"/>
      </w:pPr>
      <w:r>
        <w:rPr>
          <w:rFonts w:ascii="Calibri" w:hAnsi="Calibri"/>
          <w:color w:val="1A1A2E"/>
          <w:sz w:val="21"/>
        </w:rPr>
        <w:t>Profile management with emergency contacts, allergies, chronic conditions, and insurance details</w:t>
      </w:r>
    </w:p>
    <w:p>
      <w:pPr>
        <w:pStyle w:val="ListBullet"/>
        <w:spacing w:after="60"/>
      </w:pPr>
      <w:r>
        <w:rPr>
          <w:rFonts w:ascii="Calibri" w:hAnsi="Calibri"/>
          <w:color w:val="1A1A2E"/>
          <w:sz w:val="21"/>
        </w:rPr>
        <w:t>Downloadable health card with QR code for quick identification at reception</w:t>
      </w:r>
    </w:p>
    <w:p>
      <w:pPr>
        <w:pStyle w:val="ListBullet"/>
        <w:spacing w:after="60"/>
      </w:pPr>
      <w:r>
        <w:rPr>
          <w:rFonts w:ascii="Calibri" w:hAnsi="Calibri"/>
          <w:color w:val="1A1A2E"/>
          <w:sz w:val="21"/>
        </w:rPr>
        <w:t>Privacy controls and consent management with data export (“Download my data”) capability</w:t>
      </w:r>
    </w:p>
    <w:p>
      <w:pPr>
        <w:pStyle w:val="ListBullet"/>
        <w:spacing w:after="60"/>
      </w:pPr>
      <w:r>
        <w:rPr>
          <w:rFonts w:ascii="Calibri" w:hAnsi="Calibri"/>
          <w:color w:val="1A1A2E"/>
          <w:sz w:val="21"/>
        </w:rPr>
        <w:t>AI-powered health self-assessment with symptom checker and risk recommendations</w:t>
      </w:r>
    </w:p>
    <w:p>
      <w:pPr>
        <w:pStyle w:val="ListBullet"/>
        <w:spacing w:after="60"/>
      </w:pPr>
      <w:r>
        <w:rPr>
          <w:rFonts w:ascii="Calibri" w:hAnsi="Calibri"/>
          <w:color w:val="1A1A2E"/>
          <w:sz w:val="21"/>
        </w:rPr>
        <w:t>Consultation feedback and service quality rating system</w:t>
      </w:r>
    </w:p>
    <w:p>
      <w:r>
        <w:br w:type="page"/>
      </w:r>
    </w:p>
    <w:p>
      <w:pPr>
        <w:pStyle w:val="Heading1"/>
        <w:spacing w:before="360" w:after="120"/>
        <w:jc w:val="left"/>
      </w:pPr>
      <w:r>
        <w:rPr>
          <w:rFonts w:ascii="Calibri" w:hAnsi="Calibri"/>
          <w:color w:val="005B96"/>
        </w:rPr>
        <w:t>7. AI-Powered Intelligence Features</w:t>
      </w:r>
    </w:p>
    <w:p>
      <w:pPr>
        <w:spacing w:before="80" w:after="80"/>
        <w:pBdr>
          <w:bottom w:val="single" w:sz="6" w:space="1" w:color="0096C7"/>
        </w:pBdr>
      </w:pPr>
    </w:p>
    <w:p>
      <w:pPr>
        <w:spacing w:after="120"/>
        <w:jc w:val="both"/>
      </w:pPr>
      <w:r>
        <w:rPr>
          <w:rFonts w:ascii="Calibri" w:hAnsi="Calibri"/>
          <w:b w:val="0"/>
          <w:i w:val="0"/>
          <w:color w:val="1A1A2E"/>
          <w:sz w:val="22"/>
        </w:rPr>
        <w:t>HospitalOS integrates artificial intelligence throughout the clinical and operational workflow, enhancing decision-making, reducing manual effort, and improving patient outcomes. All AI features are configurable via the admin panel and can be toggled on or off based on hospital preferences.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005B96" w:val="clear"/>
            <w:tcMar>
              <w:top w:w="60" w:type="dxa"/>
              <w:bottom w:w="60" w:type="dxa"/>
              <w:left w:w="100" w:type="dxa"/>
              <w:right w:w="100" w:type="dxa"/>
            </w:tcMar>
          </w:tcPr>
          <w:p>
            <w:pPr>
              <w:jc w:val="center"/>
            </w:pPr>
            <w:r/>
            <w:r>
              <w:rPr>
                <w:rFonts w:ascii="Calibri" w:hAnsi="Calibri"/>
                <w:b/>
                <w:color w:val="FFFFFF"/>
                <w:sz w:val="20"/>
              </w:rPr>
              <w:t>AI Feature</w:t>
            </w:r>
          </w:p>
        </w:tc>
        <w:tc>
          <w:tcPr>
            <w:tcW w:type="dxa" w:w="4608"/>
            <w:shd w:fill="005B96" w:val="clear"/>
            <w:tcMar>
              <w:top w:w="60" w:type="dxa"/>
              <w:bottom w:w="60" w:type="dxa"/>
              <w:left w:w="100" w:type="dxa"/>
              <w:right w:w="100" w:type="dxa"/>
            </w:tcMar>
          </w:tcPr>
          <w:p>
            <w:pPr>
              <w:jc w:val="center"/>
            </w:pPr>
            <w:r/>
            <w:r>
              <w:rPr>
                <w:rFonts w:ascii="Calibri" w:hAnsi="Calibri"/>
                <w:b/>
                <w:color w:val="FFFFFF"/>
                <w:sz w:val="20"/>
              </w:rPr>
              <w:t>Description</w:t>
            </w:r>
          </w:p>
        </w:tc>
        <w:tc>
          <w:tcPr>
            <w:tcW w:type="dxa" w:w="2160"/>
            <w:shd w:fill="005B96" w:val="clear"/>
            <w:tcMar>
              <w:top w:w="60" w:type="dxa"/>
              <w:bottom w:w="60" w:type="dxa"/>
              <w:left w:w="100" w:type="dxa"/>
              <w:right w:w="100" w:type="dxa"/>
            </w:tcMar>
          </w:tcPr>
          <w:p>
            <w:pPr>
              <w:jc w:val="center"/>
            </w:pPr>
            <w:r/>
            <w:r>
              <w:rPr>
                <w:rFonts w:ascii="Calibri" w:hAnsi="Calibri"/>
                <w:b/>
                <w:color w:val="FFFFFF"/>
                <w:sz w:val="20"/>
              </w:rPr>
              <w:t>Module</w:t>
            </w:r>
          </w:p>
        </w:tc>
      </w:tr>
      <w:tr>
        <w:tc>
          <w:tcPr>
            <w:tcW w:type="dxa" w:w="2592"/>
            <w:shd w:fill="F0F9FF" w:val="clear"/>
            <w:tcMar>
              <w:top w:w="50" w:type="dxa"/>
              <w:bottom w:w="50" w:type="dxa"/>
              <w:left w:w="100" w:type="dxa"/>
              <w:right w:w="100" w:type="dxa"/>
            </w:tcMar>
          </w:tcPr>
          <w:p>
            <w:pPr>
              <w:jc w:val="left"/>
            </w:pPr>
            <w:r/>
            <w:r>
              <w:rPr>
                <w:rFonts w:ascii="Calibri" w:hAnsi="Calibri"/>
                <w:color w:val="1A1A2E"/>
                <w:sz w:val="20"/>
              </w:rPr>
              <w:t>AI Triage Engine</w:t>
            </w:r>
          </w:p>
        </w:tc>
        <w:tc>
          <w:tcPr>
            <w:tcW w:type="dxa" w:w="4608"/>
            <w:shd w:fill="F0F9FF" w:val="clear"/>
            <w:tcMar>
              <w:top w:w="50" w:type="dxa"/>
              <w:bottom w:w="50" w:type="dxa"/>
              <w:left w:w="100" w:type="dxa"/>
              <w:right w:w="100" w:type="dxa"/>
            </w:tcMar>
          </w:tcPr>
          <w:p>
            <w:pPr>
              <w:jc w:val="left"/>
            </w:pPr>
            <w:r/>
            <w:r>
              <w:rPr>
                <w:rFonts w:ascii="Calibri" w:hAnsi="Calibri"/>
                <w:color w:val="1A1A2E"/>
                <w:sz w:val="20"/>
              </w:rPr>
              <w:t>Rule-based + AI-powered patient intake with symptom analysis, severity classification, red-flag detection, and auto-generated SOAP clinical summaries</w:t>
            </w:r>
          </w:p>
        </w:tc>
        <w:tc>
          <w:tcPr>
            <w:tcW w:type="dxa" w:w="2160"/>
            <w:shd w:fill="F0F9FF" w:val="clear"/>
            <w:tcMar>
              <w:top w:w="50" w:type="dxa"/>
              <w:bottom w:w="50" w:type="dxa"/>
              <w:left w:w="100" w:type="dxa"/>
              <w:right w:w="100" w:type="dxa"/>
            </w:tcMar>
          </w:tcPr>
          <w:p>
            <w:pPr>
              <w:jc w:val="left"/>
            </w:pPr>
            <w:r/>
            <w:r>
              <w:rPr>
                <w:rFonts w:ascii="Calibri" w:hAnsi="Calibri"/>
                <w:color w:val="1A1A2E"/>
                <w:sz w:val="20"/>
              </w:rPr>
              <w:t>Reception</w:t>
            </w:r>
          </w:p>
        </w:tc>
      </w:tr>
      <w:tr>
        <w:tc>
          <w:tcPr>
            <w:tcW w:type="dxa" w:w="2592"/>
            <w:shd w:fill="FFFFFF" w:val="clear"/>
            <w:tcMar>
              <w:top w:w="50" w:type="dxa"/>
              <w:bottom w:w="50" w:type="dxa"/>
              <w:left w:w="100" w:type="dxa"/>
              <w:right w:w="100" w:type="dxa"/>
            </w:tcMar>
          </w:tcPr>
          <w:p>
            <w:pPr>
              <w:jc w:val="left"/>
            </w:pPr>
            <w:r/>
            <w:r>
              <w:rPr>
                <w:rFonts w:ascii="Calibri" w:hAnsi="Calibri"/>
                <w:color w:val="1A1A2E"/>
                <w:sz w:val="20"/>
              </w:rPr>
              <w:t>Lab Result Interpretation</w:t>
            </w:r>
          </w:p>
        </w:tc>
        <w:tc>
          <w:tcPr>
            <w:tcW w:type="dxa" w:w="4608"/>
            <w:shd w:fill="FFFFFF" w:val="clear"/>
            <w:tcMar>
              <w:top w:w="50" w:type="dxa"/>
              <w:bottom w:w="50" w:type="dxa"/>
              <w:left w:w="100" w:type="dxa"/>
              <w:right w:w="100" w:type="dxa"/>
            </w:tcMar>
          </w:tcPr>
          <w:p>
            <w:pPr>
              <w:jc w:val="left"/>
            </w:pPr>
            <w:r/>
            <w:r>
              <w:rPr>
                <w:rFonts w:ascii="Calibri" w:hAnsi="Calibri"/>
                <w:color w:val="1A1A2E"/>
                <w:sz w:val="20"/>
              </w:rPr>
              <w:t>AI-generated plain English explanations of lab results with trend analysis, anomaly detection, and patient-friendly language</w:t>
            </w:r>
          </w:p>
        </w:tc>
        <w:tc>
          <w:tcPr>
            <w:tcW w:type="dxa" w:w="2160"/>
            <w:shd w:fill="FFFFFF" w:val="clear"/>
            <w:tcMar>
              <w:top w:w="50" w:type="dxa"/>
              <w:bottom w:w="50" w:type="dxa"/>
              <w:left w:w="100" w:type="dxa"/>
              <w:right w:w="100" w:type="dxa"/>
            </w:tcMar>
          </w:tcPr>
          <w:p>
            <w:pPr>
              <w:jc w:val="left"/>
            </w:pPr>
            <w:r/>
            <w:r>
              <w:rPr>
                <w:rFonts w:ascii="Calibri" w:hAnsi="Calibri"/>
                <w:color w:val="1A1A2E"/>
                <w:sz w:val="20"/>
              </w:rPr>
              <w:t>Laboratory / Patient Portal</w:t>
            </w:r>
          </w:p>
        </w:tc>
      </w:tr>
      <w:tr>
        <w:tc>
          <w:tcPr>
            <w:tcW w:type="dxa" w:w="2592"/>
            <w:shd w:fill="F0F9FF" w:val="clear"/>
            <w:tcMar>
              <w:top w:w="50" w:type="dxa"/>
              <w:bottom w:w="50" w:type="dxa"/>
              <w:left w:w="100" w:type="dxa"/>
              <w:right w:w="100" w:type="dxa"/>
            </w:tcMar>
          </w:tcPr>
          <w:p>
            <w:pPr>
              <w:jc w:val="left"/>
            </w:pPr>
            <w:r/>
            <w:r>
              <w:rPr>
                <w:rFonts w:ascii="Calibri" w:hAnsi="Calibri"/>
                <w:color w:val="1A1A2E"/>
                <w:sz w:val="20"/>
              </w:rPr>
              <w:t>Health Self-Assessment</w:t>
            </w:r>
          </w:p>
        </w:tc>
        <w:tc>
          <w:tcPr>
            <w:tcW w:type="dxa" w:w="4608"/>
            <w:shd w:fill="F0F9FF" w:val="clear"/>
            <w:tcMar>
              <w:top w:w="50" w:type="dxa"/>
              <w:bottom w:w="50" w:type="dxa"/>
              <w:left w:w="100" w:type="dxa"/>
              <w:right w:w="100" w:type="dxa"/>
            </w:tcMar>
          </w:tcPr>
          <w:p>
            <w:pPr>
              <w:jc w:val="left"/>
            </w:pPr>
            <w:r/>
            <w:r>
              <w:rPr>
                <w:rFonts w:ascii="Calibri" w:hAnsi="Calibri"/>
                <w:color w:val="1A1A2E"/>
                <w:sz w:val="20"/>
              </w:rPr>
              <w:t>Patient-facing AI health assessment tool with symptom checking, risk evaluation, and care recommendations</w:t>
            </w:r>
          </w:p>
        </w:tc>
        <w:tc>
          <w:tcPr>
            <w:tcW w:type="dxa" w:w="2160"/>
            <w:shd w:fill="F0F9FF" w:val="clear"/>
            <w:tcMar>
              <w:top w:w="50" w:type="dxa"/>
              <w:bottom w:w="50" w:type="dxa"/>
              <w:left w:w="100" w:type="dxa"/>
              <w:right w:w="100" w:type="dxa"/>
            </w:tcMar>
          </w:tcPr>
          <w:p>
            <w:pPr>
              <w:jc w:val="left"/>
            </w:pPr>
            <w:r/>
            <w:r>
              <w:rPr>
                <w:rFonts w:ascii="Calibri" w:hAnsi="Calibri"/>
                <w:color w:val="1A1A2E"/>
                <w:sz w:val="20"/>
              </w:rPr>
              <w:t>Patient Portal</w:t>
            </w:r>
          </w:p>
        </w:tc>
      </w:tr>
      <w:tr>
        <w:tc>
          <w:tcPr>
            <w:tcW w:type="dxa" w:w="2592"/>
            <w:shd w:fill="FFFFFF" w:val="clear"/>
            <w:tcMar>
              <w:top w:w="50" w:type="dxa"/>
              <w:bottom w:w="50" w:type="dxa"/>
              <w:left w:w="100" w:type="dxa"/>
              <w:right w:w="100" w:type="dxa"/>
            </w:tcMar>
          </w:tcPr>
          <w:p>
            <w:pPr>
              <w:jc w:val="left"/>
            </w:pPr>
            <w:r/>
            <w:r>
              <w:rPr>
                <w:rFonts w:ascii="Calibri" w:hAnsi="Calibri"/>
                <w:color w:val="1A1A2E"/>
                <w:sz w:val="20"/>
              </w:rPr>
              <w:t>SOAP Note Generation</w:t>
            </w:r>
          </w:p>
        </w:tc>
        <w:tc>
          <w:tcPr>
            <w:tcW w:type="dxa" w:w="4608"/>
            <w:shd w:fill="FFFFFF" w:val="clear"/>
            <w:tcMar>
              <w:top w:w="50" w:type="dxa"/>
              <w:bottom w:w="50" w:type="dxa"/>
              <w:left w:w="100" w:type="dxa"/>
              <w:right w:w="100" w:type="dxa"/>
            </w:tcMar>
          </w:tcPr>
          <w:p>
            <w:pPr>
              <w:jc w:val="left"/>
            </w:pPr>
            <w:r/>
            <w:r>
              <w:rPr>
                <w:rFonts w:ascii="Calibri" w:hAnsi="Calibri"/>
                <w:color w:val="1A1A2E"/>
                <w:sz w:val="20"/>
              </w:rPr>
              <w:t>Automated clinical summary generation from triage data including recommended tests and risk alerts</w:t>
            </w:r>
          </w:p>
        </w:tc>
        <w:tc>
          <w:tcPr>
            <w:tcW w:type="dxa" w:w="2160"/>
            <w:shd w:fill="FFFFFF" w:val="clear"/>
            <w:tcMar>
              <w:top w:w="50" w:type="dxa"/>
              <w:bottom w:w="50" w:type="dxa"/>
              <w:left w:w="100" w:type="dxa"/>
              <w:right w:w="100" w:type="dxa"/>
            </w:tcMar>
          </w:tcPr>
          <w:p>
            <w:pPr>
              <w:jc w:val="left"/>
            </w:pPr>
            <w:r/>
            <w:r>
              <w:rPr>
                <w:rFonts w:ascii="Calibri" w:hAnsi="Calibri"/>
                <w:color w:val="1A1A2E"/>
                <w:sz w:val="20"/>
              </w:rPr>
              <w:t>Reception / Doctor</w:t>
            </w:r>
          </w:p>
        </w:tc>
      </w:tr>
      <w:tr>
        <w:tc>
          <w:tcPr>
            <w:tcW w:type="dxa" w:w="2592"/>
            <w:shd w:fill="F0F9FF" w:val="clear"/>
            <w:tcMar>
              <w:top w:w="50" w:type="dxa"/>
              <w:bottom w:w="50" w:type="dxa"/>
              <w:left w:w="100" w:type="dxa"/>
              <w:right w:w="100" w:type="dxa"/>
            </w:tcMar>
          </w:tcPr>
          <w:p>
            <w:pPr>
              <w:jc w:val="left"/>
            </w:pPr>
            <w:r/>
            <w:r>
              <w:rPr>
                <w:rFonts w:ascii="Calibri" w:hAnsi="Calibri"/>
                <w:color w:val="1A1A2E"/>
                <w:sz w:val="20"/>
              </w:rPr>
              <w:t>Duplicate Patient Detection</w:t>
            </w:r>
          </w:p>
        </w:tc>
        <w:tc>
          <w:tcPr>
            <w:tcW w:type="dxa" w:w="4608"/>
            <w:shd w:fill="F0F9FF" w:val="clear"/>
            <w:tcMar>
              <w:top w:w="50" w:type="dxa"/>
              <w:bottom w:w="50" w:type="dxa"/>
              <w:left w:w="100" w:type="dxa"/>
              <w:right w:w="100" w:type="dxa"/>
            </w:tcMar>
          </w:tcPr>
          <w:p>
            <w:pPr>
              <w:jc w:val="left"/>
            </w:pPr>
            <w:r/>
            <w:r>
              <w:rPr>
                <w:rFonts w:ascii="Calibri" w:hAnsi="Calibri"/>
                <w:color w:val="1A1A2E"/>
                <w:sz w:val="20"/>
              </w:rPr>
              <w:t>Fuzzy matching algorithms to identify potential duplicate patient records during registration</w:t>
            </w:r>
          </w:p>
        </w:tc>
        <w:tc>
          <w:tcPr>
            <w:tcW w:type="dxa" w:w="2160"/>
            <w:shd w:fill="F0F9FF" w:val="clear"/>
            <w:tcMar>
              <w:top w:w="50" w:type="dxa"/>
              <w:bottom w:w="50" w:type="dxa"/>
              <w:left w:w="100" w:type="dxa"/>
              <w:right w:w="100" w:type="dxa"/>
            </w:tcMar>
          </w:tcPr>
          <w:p>
            <w:pPr>
              <w:jc w:val="left"/>
            </w:pPr>
            <w:r/>
            <w:r>
              <w:rPr>
                <w:rFonts w:ascii="Calibri" w:hAnsi="Calibri"/>
                <w:color w:val="1A1A2E"/>
                <w:sz w:val="20"/>
              </w:rPr>
              <w:t>Reception</w:t>
            </w:r>
          </w:p>
        </w:tc>
      </w:tr>
      <w:tr>
        <w:tc>
          <w:tcPr>
            <w:tcW w:type="dxa" w:w="2592"/>
            <w:shd w:fill="FFFFFF" w:val="clear"/>
            <w:tcMar>
              <w:top w:w="50" w:type="dxa"/>
              <w:bottom w:w="50" w:type="dxa"/>
              <w:left w:w="100" w:type="dxa"/>
              <w:right w:w="100" w:type="dxa"/>
            </w:tcMar>
          </w:tcPr>
          <w:p>
            <w:pPr>
              <w:jc w:val="left"/>
            </w:pPr>
            <w:r/>
            <w:r>
              <w:rPr>
                <w:rFonts w:ascii="Calibri" w:hAnsi="Calibri"/>
                <w:color w:val="1A1A2E"/>
                <w:sz w:val="20"/>
              </w:rPr>
              <w:t>Critical Value Alerting</w:t>
            </w:r>
          </w:p>
        </w:tc>
        <w:tc>
          <w:tcPr>
            <w:tcW w:type="dxa" w:w="4608"/>
            <w:shd w:fill="FFFFFF" w:val="clear"/>
            <w:tcMar>
              <w:top w:w="50" w:type="dxa"/>
              <w:bottom w:w="50" w:type="dxa"/>
              <w:left w:w="100" w:type="dxa"/>
              <w:right w:w="100" w:type="dxa"/>
            </w:tcMar>
          </w:tcPr>
          <w:p>
            <w:pPr>
              <w:jc w:val="left"/>
            </w:pPr>
            <w:r/>
            <w:r>
              <w:rPr>
                <w:rFonts w:ascii="Calibri" w:hAnsi="Calibri"/>
                <w:color w:val="1A1A2E"/>
                <w:sz w:val="20"/>
              </w:rPr>
              <w:t>Intelligent critical value detection in lab results with automatic escalation notifications to physicians</w:t>
            </w:r>
          </w:p>
        </w:tc>
        <w:tc>
          <w:tcPr>
            <w:tcW w:type="dxa" w:w="2160"/>
            <w:shd w:fill="FFFFFF" w:val="clear"/>
            <w:tcMar>
              <w:top w:w="50" w:type="dxa"/>
              <w:bottom w:w="50" w:type="dxa"/>
              <w:left w:w="100" w:type="dxa"/>
              <w:right w:w="100" w:type="dxa"/>
            </w:tcMar>
          </w:tcPr>
          <w:p>
            <w:pPr>
              <w:jc w:val="left"/>
            </w:pPr>
            <w:r/>
            <w:r>
              <w:rPr>
                <w:rFonts w:ascii="Calibri" w:hAnsi="Calibri"/>
                <w:color w:val="1A1A2E"/>
                <w:sz w:val="20"/>
              </w:rPr>
              <w:t>Laboratory</w:t>
            </w:r>
          </w:p>
        </w:tc>
      </w:tr>
    </w:tbl>
    <w:p>
      <w:pPr>
        <w:spacing w:after="80"/>
      </w:pPr>
    </w:p>
    <w:p>
      <w:r>
        <w:br w:type="page"/>
      </w:r>
    </w:p>
    <w:p>
      <w:pPr>
        <w:pStyle w:val="Heading1"/>
        <w:spacing w:before="360" w:after="120"/>
        <w:jc w:val="left"/>
      </w:pPr>
      <w:r>
        <w:rPr>
          <w:rFonts w:ascii="Calibri" w:hAnsi="Calibri"/>
          <w:color w:val="005B96"/>
        </w:rPr>
        <w:t>8. Multi-Tenant &amp; SaaS Architecture</w:t>
      </w:r>
    </w:p>
    <w:p>
      <w:pPr>
        <w:spacing w:before="80" w:after="80"/>
        <w:pBdr>
          <w:bottom w:val="single" w:sz="6" w:space="1" w:color="0096C7"/>
        </w:pBdr>
      </w:pPr>
    </w:p>
    <w:p>
      <w:pPr>
        <w:spacing w:after="120"/>
        <w:jc w:val="both"/>
      </w:pPr>
      <w:r>
        <w:rPr>
          <w:rFonts w:ascii="Calibri" w:hAnsi="Calibri"/>
          <w:b w:val="0"/>
          <w:i w:val="0"/>
          <w:color w:val="1A1A2E"/>
          <w:sz w:val="22"/>
        </w:rPr>
        <w:t>HospitalOS is built from the ground up as a multi-tenant SaaS platform, making it ideal for healthcare chains managing multiple facilities, as well as technology vendors who want to offer hospital management as a service. The dedicated Super Admin console provides platform-level oversight and management capabilities.</w:t>
      </w:r>
    </w:p>
    <w:p>
      <w:pPr>
        <w:pStyle w:val="Heading2"/>
        <w:spacing w:before="200" w:after="120"/>
        <w:jc w:val="left"/>
      </w:pPr>
      <w:r>
        <w:rPr>
          <w:rFonts w:ascii="Calibri" w:hAnsi="Calibri"/>
          <w:color w:val="0096C7"/>
        </w:rPr>
        <w:t>Super Admin Console</w:t>
      </w:r>
    </w:p>
    <w:p>
      <w:pPr>
        <w:pStyle w:val="ListBullet"/>
        <w:spacing w:after="60"/>
      </w:pPr>
      <w:r>
        <w:rPr>
          <w:rFonts w:ascii="Calibri" w:hAnsi="Calibri"/>
          <w:b/>
          <w:color w:val="1A1A2E"/>
          <w:sz w:val="21"/>
        </w:rPr>
        <w:t xml:space="preserve">Organization Management: </w:t>
      </w:r>
      <w:r>
        <w:rPr>
          <w:rFonts w:ascii="Calibri" w:hAnsi="Calibri"/>
          <w:color w:val="1A1A2E"/>
          <w:sz w:val="21"/>
        </w:rPr>
        <w:t>Register, configure, activate, and deactivate hospitals/clinics on the platform. Each organization operates in complete data isolation.</w:t>
      </w:r>
    </w:p>
    <w:p>
      <w:pPr>
        <w:pStyle w:val="ListBullet"/>
        <w:spacing w:after="60"/>
      </w:pPr>
      <w:r>
        <w:rPr>
          <w:rFonts w:ascii="Calibri" w:hAnsi="Calibri"/>
          <w:b/>
          <w:color w:val="1A1A2E"/>
          <w:sz w:val="21"/>
        </w:rPr>
        <w:t xml:space="preserve">Subscription Plans: </w:t>
      </w:r>
      <w:r>
        <w:rPr>
          <w:rFonts w:ascii="Calibri" w:hAnsi="Calibri"/>
          <w:color w:val="1A1A2E"/>
          <w:sz w:val="21"/>
        </w:rPr>
        <w:t>Define and manage subscription tiers (Free, Starter, Pro, Enterprise) with feature matrices, user limits, branch limits, and monthly/yearly pricing.</w:t>
      </w:r>
    </w:p>
    <w:p>
      <w:pPr>
        <w:pStyle w:val="ListBullet"/>
        <w:spacing w:after="60"/>
      </w:pPr>
      <w:r>
        <w:rPr>
          <w:rFonts w:ascii="Calibri" w:hAnsi="Calibri"/>
          <w:b/>
          <w:color w:val="1A1A2E"/>
          <w:sz w:val="21"/>
        </w:rPr>
        <w:t xml:space="preserve">Platform Analytics: </w:t>
      </w:r>
      <w:r>
        <w:rPr>
          <w:rFonts w:ascii="Calibri" w:hAnsi="Calibri"/>
          <w:color w:val="1A1A2E"/>
          <w:sz w:val="21"/>
        </w:rPr>
        <w:t>Platform-wide utilization metrics, growth analytics, revenue tracking, and organization health monitoring.</w:t>
      </w:r>
    </w:p>
    <w:p>
      <w:pPr>
        <w:pStyle w:val="ListBullet"/>
        <w:spacing w:after="60"/>
      </w:pPr>
      <w:r>
        <w:rPr>
          <w:rFonts w:ascii="Calibri" w:hAnsi="Calibri"/>
          <w:b/>
          <w:color w:val="1A1A2E"/>
          <w:sz w:val="21"/>
        </w:rPr>
        <w:t xml:space="preserve">User Oversight: </w:t>
      </w:r>
      <w:r>
        <w:rPr>
          <w:rFonts w:ascii="Calibri" w:hAnsi="Calibri"/>
          <w:color w:val="1A1A2E"/>
          <w:sz w:val="21"/>
        </w:rPr>
        <w:t>Cross-organization user management with role assignment and activation control.</w:t>
      </w:r>
    </w:p>
    <w:p>
      <w:pPr>
        <w:pStyle w:val="ListBullet"/>
        <w:spacing w:after="60"/>
      </w:pPr>
      <w:r>
        <w:rPr>
          <w:rFonts w:ascii="Calibri" w:hAnsi="Calibri"/>
          <w:b/>
          <w:color w:val="1A1A2E"/>
          <w:sz w:val="21"/>
        </w:rPr>
        <w:t xml:space="preserve">Audit Logging: </w:t>
      </w:r>
      <w:r>
        <w:rPr>
          <w:rFonts w:ascii="Calibri" w:hAnsi="Calibri"/>
          <w:color w:val="1A1A2E"/>
          <w:sz w:val="21"/>
        </w:rPr>
        <w:t>Platform-wide audit trail covering all organization activities and administrative actions.</w:t>
      </w:r>
    </w:p>
    <w:p>
      <w:r>
        <w:br w:type="page"/>
      </w:r>
    </w:p>
    <w:p>
      <w:pPr>
        <w:pStyle w:val="Heading1"/>
        <w:spacing w:before="360" w:after="120"/>
        <w:jc w:val="left"/>
      </w:pPr>
      <w:r>
        <w:rPr>
          <w:rFonts w:ascii="Calibri" w:hAnsi="Calibri"/>
          <w:color w:val="005B96"/>
        </w:rPr>
        <w:t>9. Security, Compliance &amp; Audit</w:t>
      </w:r>
    </w:p>
    <w:p>
      <w:pPr>
        <w:spacing w:before="80" w:after="80"/>
        <w:pBdr>
          <w:bottom w:val="single" w:sz="6" w:space="1" w:color="0096C7"/>
        </w:pBdr>
      </w:pPr>
    </w:p>
    <w:p>
      <w:pPr>
        <w:spacing w:after="120"/>
        <w:jc w:val="both"/>
      </w:pPr>
      <w:r>
        <w:rPr>
          <w:rFonts w:ascii="Calibri" w:hAnsi="Calibri"/>
          <w:b w:val="0"/>
          <w:i w:val="0"/>
          <w:color w:val="1A1A2E"/>
          <w:sz w:val="22"/>
        </w:rPr>
        <w:t>Security and regulatory compliance are foundational to HospitalOS. The platform implements multiple layers of protection to safeguard sensitive patient data and ensure adherence to healthcare industry standards and accreditation requirements.</w:t>
      </w:r>
    </w:p>
    <w:tbl>
      <w:tblPr>
        <w:tblStyle w:val="TableGrid"/>
        <w:tblW w:type="auto" w:w="0"/>
        <w:jc w:val="center"/>
        <w:tblLook w:firstColumn="1" w:firstRow="1" w:lastColumn="0" w:lastRow="0" w:noHBand="0" w:noVBand="1" w:val="04A0"/>
      </w:tblPr>
      <w:tblGrid>
        <w:gridCol w:w="4680"/>
        <w:gridCol w:w="4680"/>
      </w:tblGrid>
      <w:tr>
        <w:tc>
          <w:tcPr>
            <w:tcW w:type="dxa" w:w="2880"/>
            <w:shd w:fill="005B96" w:val="clear"/>
            <w:tcMar>
              <w:top w:w="60" w:type="dxa"/>
              <w:bottom w:w="60" w:type="dxa"/>
              <w:left w:w="100" w:type="dxa"/>
              <w:right w:w="100" w:type="dxa"/>
            </w:tcMar>
          </w:tcPr>
          <w:p>
            <w:pPr>
              <w:jc w:val="center"/>
            </w:pPr>
            <w:r/>
            <w:r>
              <w:rPr>
                <w:rFonts w:ascii="Calibri" w:hAnsi="Calibri"/>
                <w:b/>
                <w:color w:val="FFFFFF"/>
                <w:sz w:val="20"/>
              </w:rPr>
              <w:t>Security Feature</w:t>
            </w:r>
          </w:p>
        </w:tc>
        <w:tc>
          <w:tcPr>
            <w:tcW w:type="dxa" w:w="6480"/>
            <w:shd w:fill="005B96" w:val="clear"/>
            <w:tcMar>
              <w:top w:w="60" w:type="dxa"/>
              <w:bottom w:w="60" w:type="dxa"/>
              <w:left w:w="100" w:type="dxa"/>
              <w:right w:w="100" w:type="dxa"/>
            </w:tcMar>
          </w:tcPr>
          <w:p>
            <w:pPr>
              <w:jc w:val="center"/>
            </w:pPr>
            <w:r/>
            <w:r>
              <w:rPr>
                <w:rFonts w:ascii="Calibri" w:hAnsi="Calibri"/>
                <w:b/>
                <w:color w:val="FFFFFF"/>
                <w:sz w:val="20"/>
              </w:rPr>
              <w:t>Implementation Details</w:t>
            </w:r>
          </w:p>
        </w:tc>
      </w:tr>
      <w:tr>
        <w:tc>
          <w:tcPr>
            <w:tcW w:type="dxa" w:w="2880"/>
            <w:shd w:fill="F0F9FF" w:val="clear"/>
            <w:tcMar>
              <w:top w:w="50" w:type="dxa"/>
              <w:bottom w:w="50" w:type="dxa"/>
              <w:left w:w="100" w:type="dxa"/>
              <w:right w:w="100" w:type="dxa"/>
            </w:tcMar>
          </w:tcPr>
          <w:p>
            <w:pPr>
              <w:jc w:val="left"/>
            </w:pPr>
            <w:r/>
            <w:r>
              <w:rPr>
                <w:rFonts w:ascii="Calibri" w:hAnsi="Calibri"/>
                <w:color w:val="1A1A2E"/>
                <w:sz w:val="20"/>
              </w:rPr>
              <w:t>Authentication</w:t>
            </w:r>
          </w:p>
        </w:tc>
        <w:tc>
          <w:tcPr>
            <w:tcW w:type="dxa" w:w="6480"/>
            <w:shd w:fill="F0F9FF" w:val="clear"/>
            <w:tcMar>
              <w:top w:w="50" w:type="dxa"/>
              <w:bottom w:w="50" w:type="dxa"/>
              <w:left w:w="100" w:type="dxa"/>
              <w:right w:w="100" w:type="dxa"/>
            </w:tcMar>
          </w:tcPr>
          <w:p>
            <w:pPr>
              <w:jc w:val="left"/>
            </w:pPr>
            <w:r/>
            <w:r>
              <w:rPr>
                <w:rFonts w:ascii="Calibri" w:hAnsi="Calibri"/>
                <w:color w:val="1A1A2E"/>
                <w:sz w:val="20"/>
              </w:rPr>
              <w:t>JWT-based token authentication with secure session management and configurable timeout (default 15 minutes)</w:t>
            </w:r>
          </w:p>
        </w:tc>
      </w:tr>
      <w:tr>
        <w:tc>
          <w:tcPr>
            <w:tcW w:type="dxa" w:w="2880"/>
            <w:shd w:fill="FFFFFF" w:val="clear"/>
            <w:tcMar>
              <w:top w:w="50" w:type="dxa"/>
              <w:bottom w:w="50" w:type="dxa"/>
              <w:left w:w="100" w:type="dxa"/>
              <w:right w:w="100" w:type="dxa"/>
            </w:tcMar>
          </w:tcPr>
          <w:p>
            <w:pPr>
              <w:jc w:val="left"/>
            </w:pPr>
            <w:r/>
            <w:r>
              <w:rPr>
                <w:rFonts w:ascii="Calibri" w:hAnsi="Calibri"/>
                <w:color w:val="1A1A2E"/>
                <w:sz w:val="20"/>
              </w:rPr>
              <w:t>Multi-Factor Authentication</w:t>
            </w:r>
          </w:p>
        </w:tc>
        <w:tc>
          <w:tcPr>
            <w:tcW w:type="dxa" w:w="6480"/>
            <w:shd w:fill="FFFFFF" w:val="clear"/>
            <w:tcMar>
              <w:top w:w="50" w:type="dxa"/>
              <w:bottom w:w="50" w:type="dxa"/>
              <w:left w:w="100" w:type="dxa"/>
              <w:right w:w="100" w:type="dxa"/>
            </w:tcMar>
          </w:tcPr>
          <w:p>
            <w:pPr>
              <w:jc w:val="left"/>
            </w:pPr>
            <w:r/>
            <w:r>
              <w:rPr>
                <w:rFonts w:ascii="Calibri" w:hAnsi="Calibri"/>
                <w:color w:val="1A1A2E"/>
                <w:sz w:val="20"/>
              </w:rPr>
              <w:t>MFA setup and enforcement for user accounts with TOTP support</w:t>
            </w:r>
          </w:p>
        </w:tc>
      </w:tr>
      <w:tr>
        <w:tc>
          <w:tcPr>
            <w:tcW w:type="dxa" w:w="2880"/>
            <w:shd w:fill="F0F9FF" w:val="clear"/>
            <w:tcMar>
              <w:top w:w="50" w:type="dxa"/>
              <w:bottom w:w="50" w:type="dxa"/>
              <w:left w:w="100" w:type="dxa"/>
              <w:right w:w="100" w:type="dxa"/>
            </w:tcMar>
          </w:tcPr>
          <w:p>
            <w:pPr>
              <w:jc w:val="left"/>
            </w:pPr>
            <w:r/>
            <w:r>
              <w:rPr>
                <w:rFonts w:ascii="Calibri" w:hAnsi="Calibri"/>
                <w:color w:val="1A1A2E"/>
                <w:sz w:val="20"/>
              </w:rPr>
              <w:t>Password Security</w:t>
            </w:r>
          </w:p>
        </w:tc>
        <w:tc>
          <w:tcPr>
            <w:tcW w:type="dxa" w:w="6480"/>
            <w:shd w:fill="F0F9FF" w:val="clear"/>
            <w:tcMar>
              <w:top w:w="50" w:type="dxa"/>
              <w:bottom w:w="50" w:type="dxa"/>
              <w:left w:w="100" w:type="dxa"/>
              <w:right w:w="100" w:type="dxa"/>
            </w:tcMar>
          </w:tcPr>
          <w:p>
            <w:pPr>
              <w:jc w:val="left"/>
            </w:pPr>
            <w:r/>
            <w:r>
              <w:rPr>
                <w:rFonts w:ascii="Calibri" w:hAnsi="Calibri"/>
                <w:color w:val="1A1A2E"/>
                <w:sz w:val="20"/>
              </w:rPr>
              <w:t>bcryptjs password hashing with secure password setup tokens for patient portal onboarding</w:t>
            </w:r>
          </w:p>
        </w:tc>
      </w:tr>
      <w:tr>
        <w:tc>
          <w:tcPr>
            <w:tcW w:type="dxa" w:w="2880"/>
            <w:shd w:fill="FFFFFF" w:val="clear"/>
            <w:tcMar>
              <w:top w:w="50" w:type="dxa"/>
              <w:bottom w:w="50" w:type="dxa"/>
              <w:left w:w="100" w:type="dxa"/>
              <w:right w:w="100" w:type="dxa"/>
            </w:tcMar>
          </w:tcPr>
          <w:p>
            <w:pPr>
              <w:jc w:val="left"/>
            </w:pPr>
            <w:r/>
            <w:r>
              <w:rPr>
                <w:rFonts w:ascii="Calibri" w:hAnsi="Calibri"/>
                <w:color w:val="1A1A2E"/>
                <w:sz w:val="20"/>
              </w:rPr>
              <w:t>Role-Based Access Control</w:t>
            </w:r>
          </w:p>
        </w:tc>
        <w:tc>
          <w:tcPr>
            <w:tcW w:type="dxa" w:w="6480"/>
            <w:shd w:fill="FFFFFF" w:val="clear"/>
            <w:tcMar>
              <w:top w:w="50" w:type="dxa"/>
              <w:bottom w:w="50" w:type="dxa"/>
              <w:left w:w="100" w:type="dxa"/>
              <w:right w:w="100" w:type="dxa"/>
            </w:tcMar>
          </w:tcPr>
          <w:p>
            <w:pPr>
              <w:jc w:val="left"/>
            </w:pPr>
            <w:r/>
            <w:r>
              <w:rPr>
                <w:rFonts w:ascii="Calibri" w:hAnsi="Calibri"/>
                <w:color w:val="1A1A2E"/>
                <w:sz w:val="20"/>
              </w:rPr>
              <w:t>Granular RBAC with custom roles, permission matrices, and data scope levels (Own, Department, Branch, Organization)</w:t>
            </w:r>
          </w:p>
        </w:tc>
      </w:tr>
      <w:tr>
        <w:tc>
          <w:tcPr>
            <w:tcW w:type="dxa" w:w="2880"/>
            <w:shd w:fill="F0F9FF" w:val="clear"/>
            <w:tcMar>
              <w:top w:w="50" w:type="dxa"/>
              <w:bottom w:w="50" w:type="dxa"/>
              <w:left w:w="100" w:type="dxa"/>
              <w:right w:w="100" w:type="dxa"/>
            </w:tcMar>
          </w:tcPr>
          <w:p>
            <w:pPr>
              <w:jc w:val="left"/>
            </w:pPr>
            <w:r/>
            <w:r>
              <w:rPr>
                <w:rFonts w:ascii="Calibri" w:hAnsi="Calibri"/>
                <w:color w:val="1A1A2E"/>
                <w:sz w:val="20"/>
              </w:rPr>
              <w:t>Data Isolation</w:t>
            </w:r>
          </w:p>
        </w:tc>
        <w:tc>
          <w:tcPr>
            <w:tcW w:type="dxa" w:w="6480"/>
            <w:shd w:fill="F0F9FF" w:val="clear"/>
            <w:tcMar>
              <w:top w:w="50" w:type="dxa"/>
              <w:bottom w:w="50" w:type="dxa"/>
              <w:left w:w="100" w:type="dxa"/>
              <w:right w:w="100" w:type="dxa"/>
            </w:tcMar>
          </w:tcPr>
          <w:p>
            <w:pPr>
              <w:jc w:val="left"/>
            </w:pPr>
            <w:r/>
            <w:r>
              <w:rPr>
                <w:rFonts w:ascii="Calibri" w:hAnsi="Calibri"/>
                <w:color w:val="1A1A2E"/>
                <w:sz w:val="20"/>
              </w:rPr>
              <w:t>Every database query scoped by Organization ID ensuring complete tenant data segregation</w:t>
            </w:r>
          </w:p>
        </w:tc>
      </w:tr>
      <w:tr>
        <w:tc>
          <w:tcPr>
            <w:tcW w:type="dxa" w:w="2880"/>
            <w:shd w:fill="FFFFFF" w:val="clear"/>
            <w:tcMar>
              <w:top w:w="50" w:type="dxa"/>
              <w:bottom w:w="50" w:type="dxa"/>
              <w:left w:w="100" w:type="dxa"/>
              <w:right w:w="100" w:type="dxa"/>
            </w:tcMar>
          </w:tcPr>
          <w:p>
            <w:pPr>
              <w:jc w:val="left"/>
            </w:pPr>
            <w:r/>
            <w:r>
              <w:rPr>
                <w:rFonts w:ascii="Calibri" w:hAnsi="Calibri"/>
                <w:color w:val="1A1A2E"/>
                <w:sz w:val="20"/>
              </w:rPr>
              <w:t>Audit Trail</w:t>
            </w:r>
          </w:p>
        </w:tc>
        <w:tc>
          <w:tcPr>
            <w:tcW w:type="dxa" w:w="6480"/>
            <w:shd w:fill="FFFFFF" w:val="clear"/>
            <w:tcMar>
              <w:top w:w="50" w:type="dxa"/>
              <w:bottom w:w="50" w:type="dxa"/>
              <w:left w:w="100" w:type="dxa"/>
              <w:right w:w="100" w:type="dxa"/>
            </w:tcMar>
          </w:tcPr>
          <w:p>
            <w:pPr>
              <w:jc w:val="left"/>
            </w:pPr>
            <w:r/>
            <w:r>
              <w:rPr>
                <w:rFonts w:ascii="Calibri" w:hAnsi="Calibri"/>
                <w:color w:val="1A1A2E"/>
                <w:sz w:val="20"/>
              </w:rPr>
              <w:t>Comprehensive logging of all user actions, data modifications, login/logout events with IP address and timestamp</w:t>
            </w:r>
          </w:p>
        </w:tc>
      </w:tr>
      <w:tr>
        <w:tc>
          <w:tcPr>
            <w:tcW w:type="dxa" w:w="2880"/>
            <w:shd w:fill="F0F9FF" w:val="clear"/>
            <w:tcMar>
              <w:top w:w="50" w:type="dxa"/>
              <w:bottom w:w="50" w:type="dxa"/>
              <w:left w:w="100" w:type="dxa"/>
              <w:right w:w="100" w:type="dxa"/>
            </w:tcMar>
          </w:tcPr>
          <w:p>
            <w:pPr>
              <w:jc w:val="left"/>
            </w:pPr>
            <w:r/>
            <w:r>
              <w:rPr>
                <w:rFonts w:ascii="Calibri" w:hAnsi="Calibri"/>
                <w:color w:val="1A1A2E"/>
                <w:sz w:val="20"/>
              </w:rPr>
              <w:t>Session Management</w:t>
            </w:r>
          </w:p>
        </w:tc>
        <w:tc>
          <w:tcPr>
            <w:tcW w:type="dxa" w:w="6480"/>
            <w:shd w:fill="F0F9FF" w:val="clear"/>
            <w:tcMar>
              <w:top w:w="50" w:type="dxa"/>
              <w:bottom w:w="50" w:type="dxa"/>
              <w:left w:w="100" w:type="dxa"/>
              <w:right w:w="100" w:type="dxa"/>
            </w:tcMar>
          </w:tcPr>
          <w:p>
            <w:pPr>
              <w:jc w:val="left"/>
            </w:pPr>
            <w:r/>
            <w:r>
              <w:rPr>
                <w:rFonts w:ascii="Calibri" w:hAnsi="Calibri"/>
                <w:color w:val="1A1A2E"/>
                <w:sz w:val="20"/>
              </w:rPr>
              <w:t>Configurable session timeout with automatic logout and activity-based session renewal</w:t>
            </w:r>
          </w:p>
        </w:tc>
      </w:tr>
      <w:tr>
        <w:tc>
          <w:tcPr>
            <w:tcW w:type="dxa" w:w="2880"/>
            <w:shd w:fill="FFFFFF" w:val="clear"/>
            <w:tcMar>
              <w:top w:w="50" w:type="dxa"/>
              <w:bottom w:w="50" w:type="dxa"/>
              <w:left w:w="100" w:type="dxa"/>
              <w:right w:w="100" w:type="dxa"/>
            </w:tcMar>
          </w:tcPr>
          <w:p>
            <w:pPr>
              <w:jc w:val="left"/>
            </w:pPr>
            <w:r/>
            <w:r>
              <w:rPr>
                <w:rFonts w:ascii="Calibri" w:hAnsi="Calibri"/>
                <w:color w:val="1A1A2E"/>
                <w:sz w:val="20"/>
              </w:rPr>
              <w:t>Consent Management</w:t>
            </w:r>
          </w:p>
        </w:tc>
        <w:tc>
          <w:tcPr>
            <w:tcW w:type="dxa" w:w="6480"/>
            <w:shd w:fill="FFFFFF" w:val="clear"/>
            <w:tcMar>
              <w:top w:w="50" w:type="dxa"/>
              <w:bottom w:w="50" w:type="dxa"/>
              <w:left w:w="100" w:type="dxa"/>
              <w:right w:w="100" w:type="dxa"/>
            </w:tcMar>
          </w:tcPr>
          <w:p>
            <w:pPr>
              <w:jc w:val="left"/>
            </w:pPr>
            <w:r/>
            <w:r>
              <w:rPr>
                <w:rFonts w:ascii="Calibri" w:hAnsi="Calibri"/>
                <w:color w:val="1A1A2E"/>
                <w:sz w:val="20"/>
              </w:rPr>
              <w:t>Patient consent tracking and documentation for HIPAA/NABH compliance</w:t>
            </w:r>
          </w:p>
        </w:tc>
      </w:tr>
      <w:tr>
        <w:tc>
          <w:tcPr>
            <w:tcW w:type="dxa" w:w="2880"/>
            <w:shd w:fill="F0F9FF" w:val="clear"/>
            <w:tcMar>
              <w:top w:w="50" w:type="dxa"/>
              <w:bottom w:w="50" w:type="dxa"/>
              <w:left w:w="100" w:type="dxa"/>
              <w:right w:w="100" w:type="dxa"/>
            </w:tcMar>
          </w:tcPr>
          <w:p>
            <w:pPr>
              <w:jc w:val="left"/>
            </w:pPr>
            <w:r/>
            <w:r>
              <w:rPr>
                <w:rFonts w:ascii="Calibri" w:hAnsi="Calibri"/>
                <w:color w:val="1A1A2E"/>
                <w:sz w:val="20"/>
              </w:rPr>
              <w:t>Accreditation Support</w:t>
            </w:r>
          </w:p>
        </w:tc>
        <w:tc>
          <w:tcPr>
            <w:tcW w:type="dxa" w:w="6480"/>
            <w:shd w:fill="F0F9FF" w:val="clear"/>
            <w:tcMar>
              <w:top w:w="50" w:type="dxa"/>
              <w:bottom w:w="50" w:type="dxa"/>
              <w:left w:w="100" w:type="dxa"/>
              <w:right w:w="100" w:type="dxa"/>
            </w:tcMar>
          </w:tcPr>
          <w:p>
            <w:pPr>
              <w:jc w:val="left"/>
            </w:pPr>
            <w:r/>
            <w:r>
              <w:rPr>
                <w:rFonts w:ascii="Calibri" w:hAnsi="Calibri"/>
                <w:color w:val="1A1A2E"/>
                <w:sz w:val="20"/>
              </w:rPr>
              <w:t>Built-in support for NABH, NABL, and JCI accreditation documentation and compliance tracking</w:t>
            </w:r>
          </w:p>
        </w:tc>
      </w:tr>
      <w:tr>
        <w:tc>
          <w:tcPr>
            <w:tcW w:type="dxa" w:w="2880"/>
            <w:shd w:fill="FFFFFF" w:val="clear"/>
            <w:tcMar>
              <w:top w:w="50" w:type="dxa"/>
              <w:bottom w:w="50" w:type="dxa"/>
              <w:left w:w="100" w:type="dxa"/>
              <w:right w:w="100" w:type="dxa"/>
            </w:tcMar>
          </w:tcPr>
          <w:p>
            <w:pPr>
              <w:jc w:val="left"/>
            </w:pPr>
            <w:r/>
            <w:r>
              <w:rPr>
                <w:rFonts w:ascii="Calibri" w:hAnsi="Calibri"/>
                <w:color w:val="1A1A2E"/>
                <w:sz w:val="20"/>
              </w:rPr>
              <w:t>Data Export &amp; Privacy</w:t>
            </w:r>
          </w:p>
        </w:tc>
        <w:tc>
          <w:tcPr>
            <w:tcW w:type="dxa" w:w="6480"/>
            <w:shd w:fill="FFFFFF" w:val="clear"/>
            <w:tcMar>
              <w:top w:w="50" w:type="dxa"/>
              <w:bottom w:w="50" w:type="dxa"/>
              <w:left w:w="100" w:type="dxa"/>
              <w:right w:w="100" w:type="dxa"/>
            </w:tcMar>
          </w:tcPr>
          <w:p>
            <w:pPr>
              <w:jc w:val="left"/>
            </w:pPr>
            <w:r/>
            <w:r>
              <w:rPr>
                <w:rFonts w:ascii="Calibri" w:hAnsi="Calibri"/>
                <w:color w:val="1A1A2E"/>
                <w:sz w:val="20"/>
              </w:rPr>
              <w:t>Patient data export capability (“Download my data”) and privacy controls for regulatory compliance</w:t>
            </w:r>
          </w:p>
        </w:tc>
      </w:tr>
    </w:tbl>
    <w:p>
      <w:pPr>
        <w:spacing w:after="80"/>
      </w:pPr>
    </w:p>
    <w:p>
      <w:r>
        <w:br w:type="page"/>
      </w:r>
    </w:p>
    <w:p>
      <w:pPr>
        <w:pStyle w:val="Heading1"/>
        <w:spacing w:before="360" w:after="120"/>
        <w:jc w:val="left"/>
      </w:pPr>
      <w:r>
        <w:rPr>
          <w:rFonts w:ascii="Calibri" w:hAnsi="Calibri"/>
          <w:color w:val="005B96"/>
        </w:rPr>
        <w:t>10. Technology Stack</w:t>
      </w:r>
    </w:p>
    <w:p>
      <w:pPr>
        <w:spacing w:before="80" w:after="80"/>
        <w:pBdr>
          <w:bottom w:val="single" w:sz="6" w:space="1" w:color="0096C7"/>
        </w:pBdr>
      </w:pPr>
    </w:p>
    <w:p>
      <w:pPr>
        <w:spacing w:after="120"/>
        <w:jc w:val="both"/>
      </w:pPr>
      <w:r>
        <w:rPr>
          <w:rFonts w:ascii="Calibri" w:hAnsi="Calibri"/>
          <w:b w:val="0"/>
          <w:i w:val="0"/>
          <w:color w:val="1A1A2E"/>
          <w:sz w:val="22"/>
        </w:rPr>
        <w:t>HospitalOS is built on a modern, battle-tested technology stack chosen for performance, reliability, developer productivity, and long-term maintainability.</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005B96" w:val="clear"/>
            <w:tcMar>
              <w:top w:w="60" w:type="dxa"/>
              <w:bottom w:w="60" w:type="dxa"/>
              <w:left w:w="100" w:type="dxa"/>
              <w:right w:w="100" w:type="dxa"/>
            </w:tcMar>
          </w:tcPr>
          <w:p>
            <w:pPr>
              <w:jc w:val="center"/>
            </w:pPr>
            <w:r/>
            <w:r>
              <w:rPr>
                <w:rFonts w:ascii="Calibri" w:hAnsi="Calibri"/>
                <w:b/>
                <w:color w:val="FFFFFF"/>
                <w:sz w:val="20"/>
              </w:rPr>
              <w:t>Layer</w:t>
            </w:r>
          </w:p>
        </w:tc>
        <w:tc>
          <w:tcPr>
            <w:tcW w:type="dxa" w:w="2880"/>
            <w:shd w:fill="005B96" w:val="clear"/>
            <w:tcMar>
              <w:top w:w="60" w:type="dxa"/>
              <w:bottom w:w="60" w:type="dxa"/>
              <w:left w:w="100" w:type="dxa"/>
              <w:right w:w="100" w:type="dxa"/>
            </w:tcMar>
          </w:tcPr>
          <w:p>
            <w:pPr>
              <w:jc w:val="center"/>
            </w:pPr>
            <w:r/>
            <w:r>
              <w:rPr>
                <w:rFonts w:ascii="Calibri" w:hAnsi="Calibri"/>
                <w:b/>
                <w:color w:val="FFFFFF"/>
                <w:sz w:val="20"/>
              </w:rPr>
              <w:t>Technology</w:t>
            </w:r>
          </w:p>
        </w:tc>
        <w:tc>
          <w:tcPr>
            <w:tcW w:type="dxa" w:w="4320"/>
            <w:shd w:fill="005B96" w:val="clear"/>
            <w:tcMar>
              <w:top w:w="60" w:type="dxa"/>
              <w:bottom w:w="60" w:type="dxa"/>
              <w:left w:w="100" w:type="dxa"/>
              <w:right w:w="100" w:type="dxa"/>
            </w:tcMar>
          </w:tcPr>
          <w:p>
            <w:pPr>
              <w:jc w:val="center"/>
            </w:pPr>
            <w:r/>
            <w:r>
              <w:rPr>
                <w:rFonts w:ascii="Calibri" w:hAnsi="Calibri"/>
                <w:b/>
                <w:color w:val="FFFFFF"/>
                <w:sz w:val="20"/>
              </w:rPr>
              <w:t>Purpose</w:t>
            </w:r>
          </w:p>
        </w:tc>
      </w:tr>
      <w:tr>
        <w:tc>
          <w:tcPr>
            <w:tcW w:type="dxa" w:w="2160"/>
            <w:shd w:fill="F0F9FF" w:val="clear"/>
            <w:tcMar>
              <w:top w:w="50" w:type="dxa"/>
              <w:bottom w:w="50" w:type="dxa"/>
              <w:left w:w="100" w:type="dxa"/>
              <w:right w:w="100" w:type="dxa"/>
            </w:tcMar>
          </w:tcPr>
          <w:p>
            <w:pPr>
              <w:jc w:val="left"/>
            </w:pPr>
            <w:r/>
            <w:r>
              <w:rPr>
                <w:rFonts w:ascii="Calibri" w:hAnsi="Calibri"/>
                <w:color w:val="1A1A2E"/>
                <w:sz w:val="20"/>
              </w:rPr>
              <w:t>Frontend Framework</w:t>
            </w:r>
          </w:p>
        </w:tc>
        <w:tc>
          <w:tcPr>
            <w:tcW w:type="dxa" w:w="2880"/>
            <w:shd w:fill="F0F9FF" w:val="clear"/>
            <w:tcMar>
              <w:top w:w="50" w:type="dxa"/>
              <w:bottom w:w="50" w:type="dxa"/>
              <w:left w:w="100" w:type="dxa"/>
              <w:right w:w="100" w:type="dxa"/>
            </w:tcMar>
          </w:tcPr>
          <w:p>
            <w:pPr>
              <w:jc w:val="left"/>
            </w:pPr>
            <w:r/>
            <w:r>
              <w:rPr>
                <w:rFonts w:ascii="Calibri" w:hAnsi="Calibri"/>
                <w:color w:val="1A1A2E"/>
                <w:sz w:val="20"/>
              </w:rPr>
              <w:t>Next.js 15 with React 19</w:t>
            </w:r>
          </w:p>
        </w:tc>
        <w:tc>
          <w:tcPr>
            <w:tcW w:type="dxa" w:w="4320"/>
            <w:shd w:fill="F0F9FF" w:val="clear"/>
            <w:tcMar>
              <w:top w:w="50" w:type="dxa"/>
              <w:bottom w:w="50" w:type="dxa"/>
              <w:left w:w="100" w:type="dxa"/>
              <w:right w:w="100" w:type="dxa"/>
            </w:tcMar>
          </w:tcPr>
          <w:p>
            <w:pPr>
              <w:jc w:val="left"/>
            </w:pPr>
            <w:r/>
            <w:r>
              <w:rPr>
                <w:rFonts w:ascii="Calibri" w:hAnsi="Calibri"/>
                <w:color w:val="1A1A2E"/>
                <w:sz w:val="20"/>
              </w:rPr>
              <w:t>Server-side rendering, static generation, and hybrid rendering for optimal performance</w:t>
            </w:r>
          </w:p>
        </w:tc>
      </w:tr>
      <w:tr>
        <w:tc>
          <w:tcPr>
            <w:tcW w:type="dxa" w:w="2160"/>
            <w:shd w:fill="FFFFFF" w:val="clear"/>
            <w:tcMar>
              <w:top w:w="50" w:type="dxa"/>
              <w:bottom w:w="50" w:type="dxa"/>
              <w:left w:w="100" w:type="dxa"/>
              <w:right w:w="100" w:type="dxa"/>
            </w:tcMar>
          </w:tcPr>
          <w:p>
            <w:pPr>
              <w:jc w:val="left"/>
            </w:pPr>
            <w:r/>
            <w:r>
              <w:rPr>
                <w:rFonts w:ascii="Calibri" w:hAnsi="Calibri"/>
                <w:color w:val="1A1A2E"/>
                <w:sz w:val="20"/>
              </w:rPr>
              <w:t>UI Framework</w:t>
            </w:r>
          </w:p>
        </w:tc>
        <w:tc>
          <w:tcPr>
            <w:tcW w:type="dxa" w:w="2880"/>
            <w:shd w:fill="FFFFFF" w:val="clear"/>
            <w:tcMar>
              <w:top w:w="50" w:type="dxa"/>
              <w:bottom w:w="50" w:type="dxa"/>
              <w:left w:w="100" w:type="dxa"/>
              <w:right w:w="100" w:type="dxa"/>
            </w:tcMar>
          </w:tcPr>
          <w:p>
            <w:pPr>
              <w:jc w:val="left"/>
            </w:pPr>
            <w:r/>
            <w:r>
              <w:rPr>
                <w:rFonts w:ascii="Calibri" w:hAnsi="Calibri"/>
                <w:color w:val="1A1A2E"/>
                <w:sz w:val="20"/>
              </w:rPr>
              <w:t>TailwindCSS v4</w:t>
            </w:r>
          </w:p>
        </w:tc>
        <w:tc>
          <w:tcPr>
            <w:tcW w:type="dxa" w:w="4320"/>
            <w:shd w:fill="FFFFFF" w:val="clear"/>
            <w:tcMar>
              <w:top w:w="50" w:type="dxa"/>
              <w:bottom w:w="50" w:type="dxa"/>
              <w:left w:w="100" w:type="dxa"/>
              <w:right w:w="100" w:type="dxa"/>
            </w:tcMar>
          </w:tcPr>
          <w:p>
            <w:pPr>
              <w:jc w:val="left"/>
            </w:pPr>
            <w:r/>
            <w:r>
              <w:rPr>
                <w:rFonts w:ascii="Calibri" w:hAnsi="Calibri"/>
                <w:color w:val="1A1A2E"/>
                <w:sz w:val="20"/>
              </w:rPr>
              <w:t>Utility-first CSS framework for responsive, mobile-optimized interfaces</w:t>
            </w:r>
          </w:p>
        </w:tc>
      </w:tr>
      <w:tr>
        <w:tc>
          <w:tcPr>
            <w:tcW w:type="dxa" w:w="2160"/>
            <w:shd w:fill="F0F9FF" w:val="clear"/>
            <w:tcMar>
              <w:top w:w="50" w:type="dxa"/>
              <w:bottom w:w="50" w:type="dxa"/>
              <w:left w:w="100" w:type="dxa"/>
              <w:right w:w="100" w:type="dxa"/>
            </w:tcMar>
          </w:tcPr>
          <w:p>
            <w:pPr>
              <w:jc w:val="left"/>
            </w:pPr>
            <w:r/>
            <w:r>
              <w:rPr>
                <w:rFonts w:ascii="Calibri" w:hAnsi="Calibri"/>
                <w:color w:val="1A1A2E"/>
                <w:sz w:val="20"/>
              </w:rPr>
              <w:t>Icons &amp; UI Components</w:t>
            </w:r>
          </w:p>
        </w:tc>
        <w:tc>
          <w:tcPr>
            <w:tcW w:type="dxa" w:w="2880"/>
            <w:shd w:fill="F0F9FF" w:val="clear"/>
            <w:tcMar>
              <w:top w:w="50" w:type="dxa"/>
              <w:bottom w:w="50" w:type="dxa"/>
              <w:left w:w="100" w:type="dxa"/>
              <w:right w:w="100" w:type="dxa"/>
            </w:tcMar>
          </w:tcPr>
          <w:p>
            <w:pPr>
              <w:jc w:val="left"/>
            </w:pPr>
            <w:r/>
            <w:r>
              <w:rPr>
                <w:rFonts w:ascii="Calibri" w:hAnsi="Calibri"/>
                <w:color w:val="1A1A2E"/>
                <w:sz w:val="20"/>
              </w:rPr>
              <w:t>Lucide React, shadcn/ui</w:t>
            </w:r>
          </w:p>
        </w:tc>
        <w:tc>
          <w:tcPr>
            <w:tcW w:type="dxa" w:w="4320"/>
            <w:shd w:fill="F0F9FF" w:val="clear"/>
            <w:tcMar>
              <w:top w:w="50" w:type="dxa"/>
              <w:bottom w:w="50" w:type="dxa"/>
              <w:left w:w="100" w:type="dxa"/>
              <w:right w:w="100" w:type="dxa"/>
            </w:tcMar>
          </w:tcPr>
          <w:p>
            <w:pPr>
              <w:jc w:val="left"/>
            </w:pPr>
            <w:r/>
            <w:r>
              <w:rPr>
                <w:rFonts w:ascii="Calibri" w:hAnsi="Calibri"/>
                <w:color w:val="1A1A2E"/>
                <w:sz w:val="20"/>
              </w:rPr>
              <w:t>Consistent, accessible iconography and UI component library</w:t>
            </w:r>
          </w:p>
        </w:tc>
      </w:tr>
      <w:tr>
        <w:tc>
          <w:tcPr>
            <w:tcW w:type="dxa" w:w="2160"/>
            <w:shd w:fill="FFFFFF" w:val="clear"/>
            <w:tcMar>
              <w:top w:w="50" w:type="dxa"/>
              <w:bottom w:w="50" w:type="dxa"/>
              <w:left w:w="100" w:type="dxa"/>
              <w:right w:w="100" w:type="dxa"/>
            </w:tcMar>
          </w:tcPr>
          <w:p>
            <w:pPr>
              <w:jc w:val="left"/>
            </w:pPr>
            <w:r/>
            <w:r>
              <w:rPr>
                <w:rFonts w:ascii="Calibri" w:hAnsi="Calibri"/>
                <w:color w:val="1A1A2E"/>
                <w:sz w:val="20"/>
              </w:rPr>
              <w:t>Backend Runtime</w:t>
            </w:r>
          </w:p>
        </w:tc>
        <w:tc>
          <w:tcPr>
            <w:tcW w:type="dxa" w:w="2880"/>
            <w:shd w:fill="FFFFFF" w:val="clear"/>
            <w:tcMar>
              <w:top w:w="50" w:type="dxa"/>
              <w:bottom w:w="50" w:type="dxa"/>
              <w:left w:w="100" w:type="dxa"/>
              <w:right w:w="100" w:type="dxa"/>
            </w:tcMar>
          </w:tcPr>
          <w:p>
            <w:pPr>
              <w:jc w:val="left"/>
            </w:pPr>
            <w:r/>
            <w:r>
              <w:rPr>
                <w:rFonts w:ascii="Calibri" w:hAnsi="Calibri"/>
                <w:color w:val="1A1A2E"/>
                <w:sz w:val="20"/>
              </w:rPr>
              <w:t>Node.js 18+</w:t>
            </w:r>
          </w:p>
        </w:tc>
        <w:tc>
          <w:tcPr>
            <w:tcW w:type="dxa" w:w="4320"/>
            <w:shd w:fill="FFFFFF" w:val="clear"/>
            <w:tcMar>
              <w:top w:w="50" w:type="dxa"/>
              <w:bottom w:w="50" w:type="dxa"/>
              <w:left w:w="100" w:type="dxa"/>
              <w:right w:w="100" w:type="dxa"/>
            </w:tcMar>
          </w:tcPr>
          <w:p>
            <w:pPr>
              <w:jc w:val="left"/>
            </w:pPr>
            <w:r/>
            <w:r>
              <w:rPr>
                <w:rFonts w:ascii="Calibri" w:hAnsi="Calibri"/>
                <w:color w:val="1A1A2E"/>
                <w:sz w:val="20"/>
              </w:rPr>
              <w:t>High-performance JavaScript runtime for server-side logic</w:t>
            </w:r>
          </w:p>
        </w:tc>
      </w:tr>
      <w:tr>
        <w:tc>
          <w:tcPr>
            <w:tcW w:type="dxa" w:w="2160"/>
            <w:shd w:fill="F0F9FF" w:val="clear"/>
            <w:tcMar>
              <w:top w:w="50" w:type="dxa"/>
              <w:bottom w:w="50" w:type="dxa"/>
              <w:left w:w="100" w:type="dxa"/>
              <w:right w:w="100" w:type="dxa"/>
            </w:tcMar>
          </w:tcPr>
          <w:p>
            <w:pPr>
              <w:jc w:val="left"/>
            </w:pPr>
            <w:r/>
            <w:r>
              <w:rPr>
                <w:rFonts w:ascii="Calibri" w:hAnsi="Calibri"/>
                <w:color w:val="1A1A2E"/>
                <w:sz w:val="20"/>
              </w:rPr>
              <w:t>ORM &amp; Database</w:t>
            </w:r>
          </w:p>
        </w:tc>
        <w:tc>
          <w:tcPr>
            <w:tcW w:type="dxa" w:w="2880"/>
            <w:shd w:fill="F0F9FF" w:val="clear"/>
            <w:tcMar>
              <w:top w:w="50" w:type="dxa"/>
              <w:bottom w:w="50" w:type="dxa"/>
              <w:left w:w="100" w:type="dxa"/>
              <w:right w:w="100" w:type="dxa"/>
            </w:tcMar>
          </w:tcPr>
          <w:p>
            <w:pPr>
              <w:jc w:val="left"/>
            </w:pPr>
            <w:r/>
            <w:r>
              <w:rPr>
                <w:rFonts w:ascii="Calibri" w:hAnsi="Calibri"/>
                <w:color w:val="1A1A2E"/>
                <w:sz w:val="20"/>
              </w:rPr>
              <w:t>Prisma 5.10 + PostgreSQL</w:t>
            </w:r>
          </w:p>
        </w:tc>
        <w:tc>
          <w:tcPr>
            <w:tcW w:type="dxa" w:w="4320"/>
            <w:shd w:fill="F0F9FF" w:val="clear"/>
            <w:tcMar>
              <w:top w:w="50" w:type="dxa"/>
              <w:bottom w:w="50" w:type="dxa"/>
              <w:left w:w="100" w:type="dxa"/>
              <w:right w:w="100" w:type="dxa"/>
            </w:tcMar>
          </w:tcPr>
          <w:p>
            <w:pPr>
              <w:jc w:val="left"/>
            </w:pPr>
            <w:r/>
            <w:r>
              <w:rPr>
                <w:rFonts w:ascii="Calibri" w:hAnsi="Calibri"/>
                <w:color w:val="1A1A2E"/>
                <w:sz w:val="20"/>
              </w:rPr>
              <w:t>Type-safe database access with Supabase-hosted PostgreSQL</w:t>
            </w:r>
          </w:p>
        </w:tc>
      </w:tr>
      <w:tr>
        <w:tc>
          <w:tcPr>
            <w:tcW w:type="dxa" w:w="2160"/>
            <w:shd w:fill="FFFFFF" w:val="clear"/>
            <w:tcMar>
              <w:top w:w="50" w:type="dxa"/>
              <w:bottom w:w="50" w:type="dxa"/>
              <w:left w:w="100" w:type="dxa"/>
              <w:right w:w="100" w:type="dxa"/>
            </w:tcMar>
          </w:tcPr>
          <w:p>
            <w:pPr>
              <w:jc w:val="left"/>
            </w:pPr>
            <w:r/>
            <w:r>
              <w:rPr>
                <w:rFonts w:ascii="Calibri" w:hAnsi="Calibri"/>
                <w:color w:val="1A1A2E"/>
                <w:sz w:val="20"/>
              </w:rPr>
              <w:t>Authentication</w:t>
            </w:r>
          </w:p>
        </w:tc>
        <w:tc>
          <w:tcPr>
            <w:tcW w:type="dxa" w:w="2880"/>
            <w:shd w:fill="FFFFFF" w:val="clear"/>
            <w:tcMar>
              <w:top w:w="50" w:type="dxa"/>
              <w:bottom w:w="50" w:type="dxa"/>
              <w:left w:w="100" w:type="dxa"/>
              <w:right w:w="100" w:type="dxa"/>
            </w:tcMar>
          </w:tcPr>
          <w:p>
            <w:pPr>
              <w:jc w:val="left"/>
            </w:pPr>
            <w:r/>
            <w:r>
              <w:rPr>
                <w:rFonts w:ascii="Calibri" w:hAnsi="Calibri"/>
                <w:color w:val="1A1A2E"/>
                <w:sz w:val="20"/>
              </w:rPr>
              <w:t>JWT + bcryptjs + MFA</w:t>
            </w:r>
          </w:p>
        </w:tc>
        <w:tc>
          <w:tcPr>
            <w:tcW w:type="dxa" w:w="4320"/>
            <w:shd w:fill="FFFFFF" w:val="clear"/>
            <w:tcMar>
              <w:top w:w="50" w:type="dxa"/>
              <w:bottom w:w="50" w:type="dxa"/>
              <w:left w:w="100" w:type="dxa"/>
              <w:right w:w="100" w:type="dxa"/>
            </w:tcMar>
          </w:tcPr>
          <w:p>
            <w:pPr>
              <w:jc w:val="left"/>
            </w:pPr>
            <w:r/>
            <w:r>
              <w:rPr>
                <w:rFonts w:ascii="Calibri" w:hAnsi="Calibri"/>
                <w:color w:val="1A1A2E"/>
                <w:sz w:val="20"/>
              </w:rPr>
              <w:t>Secure token-based auth with password hashing and multi-factor support</w:t>
            </w:r>
          </w:p>
        </w:tc>
      </w:tr>
      <w:tr>
        <w:tc>
          <w:tcPr>
            <w:tcW w:type="dxa" w:w="2160"/>
            <w:shd w:fill="F0F9FF" w:val="clear"/>
            <w:tcMar>
              <w:top w:w="50" w:type="dxa"/>
              <w:bottom w:w="50" w:type="dxa"/>
              <w:left w:w="100" w:type="dxa"/>
              <w:right w:w="100" w:type="dxa"/>
            </w:tcMar>
          </w:tcPr>
          <w:p>
            <w:pPr>
              <w:jc w:val="left"/>
            </w:pPr>
            <w:r/>
            <w:r>
              <w:rPr>
                <w:rFonts w:ascii="Calibri" w:hAnsi="Calibri"/>
                <w:color w:val="1A1A2E"/>
                <w:sz w:val="20"/>
              </w:rPr>
              <w:t>Payment Gateway</w:t>
            </w:r>
          </w:p>
        </w:tc>
        <w:tc>
          <w:tcPr>
            <w:tcW w:type="dxa" w:w="2880"/>
            <w:shd w:fill="F0F9FF" w:val="clear"/>
            <w:tcMar>
              <w:top w:w="50" w:type="dxa"/>
              <w:bottom w:w="50" w:type="dxa"/>
              <w:left w:w="100" w:type="dxa"/>
              <w:right w:w="100" w:type="dxa"/>
            </w:tcMar>
          </w:tcPr>
          <w:p>
            <w:pPr>
              <w:jc w:val="left"/>
            </w:pPr>
            <w:r/>
            <w:r>
              <w:rPr>
                <w:rFonts w:ascii="Calibri" w:hAnsi="Calibri"/>
                <w:color w:val="1A1A2E"/>
                <w:sz w:val="20"/>
              </w:rPr>
              <w:t>Razorpay</w:t>
            </w:r>
          </w:p>
        </w:tc>
        <w:tc>
          <w:tcPr>
            <w:tcW w:type="dxa" w:w="4320"/>
            <w:shd w:fill="F0F9FF" w:val="clear"/>
            <w:tcMar>
              <w:top w:w="50" w:type="dxa"/>
              <w:bottom w:w="50" w:type="dxa"/>
              <w:left w:w="100" w:type="dxa"/>
              <w:right w:w="100" w:type="dxa"/>
            </w:tcMar>
          </w:tcPr>
          <w:p>
            <w:pPr>
              <w:jc w:val="left"/>
            </w:pPr>
            <w:r/>
            <w:r>
              <w:rPr>
                <w:rFonts w:ascii="Calibri" w:hAnsi="Calibri"/>
                <w:color w:val="1A1A2E"/>
                <w:sz w:val="20"/>
              </w:rPr>
              <w:t>PCI-DSS compliant payment processing for India and international markets</w:t>
            </w:r>
          </w:p>
        </w:tc>
      </w:tr>
      <w:tr>
        <w:tc>
          <w:tcPr>
            <w:tcW w:type="dxa" w:w="2160"/>
            <w:shd w:fill="FFFFFF" w:val="clear"/>
            <w:tcMar>
              <w:top w:w="50" w:type="dxa"/>
              <w:bottom w:w="50" w:type="dxa"/>
              <w:left w:w="100" w:type="dxa"/>
              <w:right w:w="100" w:type="dxa"/>
            </w:tcMar>
          </w:tcPr>
          <w:p>
            <w:pPr>
              <w:jc w:val="left"/>
            </w:pPr>
            <w:r/>
            <w:r>
              <w:rPr>
                <w:rFonts w:ascii="Calibri" w:hAnsi="Calibri"/>
                <w:color w:val="1A1A2E"/>
                <w:sz w:val="20"/>
              </w:rPr>
              <w:t>Email Service</w:t>
            </w:r>
          </w:p>
        </w:tc>
        <w:tc>
          <w:tcPr>
            <w:tcW w:type="dxa" w:w="2880"/>
            <w:shd w:fill="FFFFFF" w:val="clear"/>
            <w:tcMar>
              <w:top w:w="50" w:type="dxa"/>
              <w:bottom w:w="50" w:type="dxa"/>
              <w:left w:w="100" w:type="dxa"/>
              <w:right w:w="100" w:type="dxa"/>
            </w:tcMar>
          </w:tcPr>
          <w:p>
            <w:pPr>
              <w:jc w:val="left"/>
            </w:pPr>
            <w:r/>
            <w:r>
              <w:rPr>
                <w:rFonts w:ascii="Calibri" w:hAnsi="Calibri"/>
                <w:color w:val="1A1A2E"/>
                <w:sz w:val="20"/>
              </w:rPr>
              <w:t>Nodemailer</w:t>
            </w:r>
          </w:p>
        </w:tc>
        <w:tc>
          <w:tcPr>
            <w:tcW w:type="dxa" w:w="4320"/>
            <w:shd w:fill="FFFFFF" w:val="clear"/>
            <w:tcMar>
              <w:top w:w="50" w:type="dxa"/>
              <w:bottom w:w="50" w:type="dxa"/>
              <w:left w:w="100" w:type="dxa"/>
              <w:right w:w="100" w:type="dxa"/>
            </w:tcMar>
          </w:tcPr>
          <w:p>
            <w:pPr>
              <w:jc w:val="left"/>
            </w:pPr>
            <w:r/>
            <w:r>
              <w:rPr>
                <w:rFonts w:ascii="Calibri" w:hAnsi="Calibri"/>
                <w:color w:val="1A1A2E"/>
                <w:sz w:val="20"/>
              </w:rPr>
              <w:t>Transactional email delivery for notifications and alerts</w:t>
            </w:r>
          </w:p>
        </w:tc>
      </w:tr>
      <w:tr>
        <w:tc>
          <w:tcPr>
            <w:tcW w:type="dxa" w:w="2160"/>
            <w:shd w:fill="F0F9FF" w:val="clear"/>
            <w:tcMar>
              <w:top w:w="50" w:type="dxa"/>
              <w:bottom w:w="50" w:type="dxa"/>
              <w:left w:w="100" w:type="dxa"/>
              <w:right w:w="100" w:type="dxa"/>
            </w:tcMar>
          </w:tcPr>
          <w:p>
            <w:pPr>
              <w:jc w:val="left"/>
            </w:pPr>
            <w:r/>
            <w:r>
              <w:rPr>
                <w:rFonts w:ascii="Calibri" w:hAnsi="Calibri"/>
                <w:color w:val="1A1A2E"/>
                <w:sz w:val="20"/>
              </w:rPr>
              <w:t>AI Engine</w:t>
            </w:r>
          </w:p>
        </w:tc>
        <w:tc>
          <w:tcPr>
            <w:tcW w:type="dxa" w:w="2880"/>
            <w:shd w:fill="F0F9FF" w:val="clear"/>
            <w:tcMar>
              <w:top w:w="50" w:type="dxa"/>
              <w:bottom w:w="50" w:type="dxa"/>
              <w:left w:w="100" w:type="dxa"/>
              <w:right w:w="100" w:type="dxa"/>
            </w:tcMar>
          </w:tcPr>
          <w:p>
            <w:pPr>
              <w:jc w:val="left"/>
            </w:pPr>
            <w:r/>
            <w:r>
              <w:rPr>
                <w:rFonts w:ascii="Calibri" w:hAnsi="Calibri"/>
                <w:color w:val="1A1A2E"/>
                <w:sz w:val="20"/>
              </w:rPr>
              <w:t>OpenAI API</w:t>
            </w:r>
          </w:p>
        </w:tc>
        <w:tc>
          <w:tcPr>
            <w:tcW w:type="dxa" w:w="4320"/>
            <w:shd w:fill="F0F9FF" w:val="clear"/>
            <w:tcMar>
              <w:top w:w="50" w:type="dxa"/>
              <w:bottom w:w="50" w:type="dxa"/>
              <w:left w:w="100" w:type="dxa"/>
              <w:right w:w="100" w:type="dxa"/>
            </w:tcMar>
          </w:tcPr>
          <w:p>
            <w:pPr>
              <w:jc w:val="left"/>
            </w:pPr>
            <w:r/>
            <w:r>
              <w:rPr>
                <w:rFonts w:ascii="Calibri" w:hAnsi="Calibri"/>
                <w:color w:val="1A1A2E"/>
                <w:sz w:val="20"/>
              </w:rPr>
              <w:t>GPT-powered clinical intelligence features (triage, interpretation, assessment)</w:t>
            </w:r>
          </w:p>
        </w:tc>
      </w:tr>
      <w:tr>
        <w:tc>
          <w:tcPr>
            <w:tcW w:type="dxa" w:w="2160"/>
            <w:shd w:fill="FFFFFF" w:val="clear"/>
            <w:tcMar>
              <w:top w:w="50" w:type="dxa"/>
              <w:bottom w:w="50" w:type="dxa"/>
              <w:left w:w="100" w:type="dxa"/>
              <w:right w:w="100" w:type="dxa"/>
            </w:tcMar>
          </w:tcPr>
          <w:p>
            <w:pPr>
              <w:jc w:val="left"/>
            </w:pPr>
            <w:r/>
            <w:r>
              <w:rPr>
                <w:rFonts w:ascii="Calibri" w:hAnsi="Calibri"/>
                <w:color w:val="1A1A2E"/>
                <w:sz w:val="20"/>
              </w:rPr>
              <w:t>Charts &amp; Analytics</w:t>
            </w:r>
          </w:p>
        </w:tc>
        <w:tc>
          <w:tcPr>
            <w:tcW w:type="dxa" w:w="2880"/>
            <w:shd w:fill="FFFFFF" w:val="clear"/>
            <w:tcMar>
              <w:top w:w="50" w:type="dxa"/>
              <w:bottom w:w="50" w:type="dxa"/>
              <w:left w:w="100" w:type="dxa"/>
              <w:right w:w="100" w:type="dxa"/>
            </w:tcMar>
          </w:tcPr>
          <w:p>
            <w:pPr>
              <w:jc w:val="left"/>
            </w:pPr>
            <w:r/>
            <w:r>
              <w:rPr>
                <w:rFonts w:ascii="Calibri" w:hAnsi="Calibri"/>
                <w:color w:val="1A1A2E"/>
                <w:sz w:val="20"/>
              </w:rPr>
              <w:t>Chart.js + react-chartjs-2</w:t>
            </w:r>
          </w:p>
        </w:tc>
        <w:tc>
          <w:tcPr>
            <w:tcW w:type="dxa" w:w="4320"/>
            <w:shd w:fill="FFFFFF" w:val="clear"/>
            <w:tcMar>
              <w:top w:w="50" w:type="dxa"/>
              <w:bottom w:w="50" w:type="dxa"/>
              <w:left w:w="100" w:type="dxa"/>
              <w:right w:w="100" w:type="dxa"/>
            </w:tcMar>
          </w:tcPr>
          <w:p>
            <w:pPr>
              <w:jc w:val="left"/>
            </w:pPr>
            <w:r/>
            <w:r>
              <w:rPr>
                <w:rFonts w:ascii="Calibri" w:hAnsi="Calibri"/>
                <w:color w:val="1A1A2E"/>
                <w:sz w:val="20"/>
              </w:rPr>
              <w:t>Interactive data visualization for dashboards and reports</w:t>
            </w:r>
          </w:p>
        </w:tc>
      </w:tr>
      <w:tr>
        <w:tc>
          <w:tcPr>
            <w:tcW w:type="dxa" w:w="2160"/>
            <w:shd w:fill="F0F9FF" w:val="clear"/>
            <w:tcMar>
              <w:top w:w="50" w:type="dxa"/>
              <w:bottom w:w="50" w:type="dxa"/>
              <w:left w:w="100" w:type="dxa"/>
              <w:right w:w="100" w:type="dxa"/>
            </w:tcMar>
          </w:tcPr>
          <w:p>
            <w:pPr>
              <w:jc w:val="left"/>
            </w:pPr>
            <w:r/>
            <w:r>
              <w:rPr>
                <w:rFonts w:ascii="Calibri" w:hAnsi="Calibri"/>
                <w:color w:val="1A1A2E"/>
                <w:sz w:val="20"/>
              </w:rPr>
              <w:t>Data Export</w:t>
            </w:r>
          </w:p>
        </w:tc>
        <w:tc>
          <w:tcPr>
            <w:tcW w:type="dxa" w:w="2880"/>
            <w:shd w:fill="F0F9FF" w:val="clear"/>
            <w:tcMar>
              <w:top w:w="50" w:type="dxa"/>
              <w:bottom w:w="50" w:type="dxa"/>
              <w:left w:w="100" w:type="dxa"/>
              <w:right w:w="100" w:type="dxa"/>
            </w:tcMar>
          </w:tcPr>
          <w:p>
            <w:pPr>
              <w:jc w:val="left"/>
            </w:pPr>
            <w:r/>
            <w:r>
              <w:rPr>
                <w:rFonts w:ascii="Calibri" w:hAnsi="Calibri"/>
                <w:color w:val="1A1A2E"/>
                <w:sz w:val="20"/>
              </w:rPr>
              <w:t>XLSX / Excel</w:t>
            </w:r>
          </w:p>
        </w:tc>
        <w:tc>
          <w:tcPr>
            <w:tcW w:type="dxa" w:w="4320"/>
            <w:shd w:fill="F0F9FF" w:val="clear"/>
            <w:tcMar>
              <w:top w:w="50" w:type="dxa"/>
              <w:bottom w:w="50" w:type="dxa"/>
              <w:left w:w="100" w:type="dxa"/>
              <w:right w:w="100" w:type="dxa"/>
            </w:tcMar>
          </w:tcPr>
          <w:p>
            <w:pPr>
              <w:jc w:val="left"/>
            </w:pPr>
            <w:r/>
            <w:r>
              <w:rPr>
                <w:rFonts w:ascii="Calibri" w:hAnsi="Calibri"/>
                <w:color w:val="1A1A2E"/>
                <w:sz w:val="20"/>
              </w:rPr>
              <w:t>Spreadsheet generation for financial and operational reports</w:t>
            </w:r>
          </w:p>
        </w:tc>
      </w:tr>
      <w:tr>
        <w:tc>
          <w:tcPr>
            <w:tcW w:type="dxa" w:w="2160"/>
            <w:shd w:fill="FFFFFF" w:val="clear"/>
            <w:tcMar>
              <w:top w:w="50" w:type="dxa"/>
              <w:bottom w:w="50" w:type="dxa"/>
              <w:left w:w="100" w:type="dxa"/>
              <w:right w:w="100" w:type="dxa"/>
            </w:tcMar>
          </w:tcPr>
          <w:p>
            <w:pPr>
              <w:jc w:val="left"/>
            </w:pPr>
            <w:r/>
            <w:r>
              <w:rPr>
                <w:rFonts w:ascii="Calibri" w:hAnsi="Calibri"/>
                <w:color w:val="1A1A2E"/>
                <w:sz w:val="20"/>
              </w:rPr>
              <w:t>QR Code</w:t>
            </w:r>
          </w:p>
        </w:tc>
        <w:tc>
          <w:tcPr>
            <w:tcW w:type="dxa" w:w="2880"/>
            <w:shd w:fill="FFFFFF" w:val="clear"/>
            <w:tcMar>
              <w:top w:w="50" w:type="dxa"/>
              <w:bottom w:w="50" w:type="dxa"/>
              <w:left w:w="100" w:type="dxa"/>
              <w:right w:w="100" w:type="dxa"/>
            </w:tcMar>
          </w:tcPr>
          <w:p>
            <w:pPr>
              <w:jc w:val="left"/>
            </w:pPr>
            <w:r/>
            <w:r>
              <w:rPr>
                <w:rFonts w:ascii="Calibri" w:hAnsi="Calibri"/>
                <w:color w:val="1A1A2E"/>
                <w:sz w:val="20"/>
              </w:rPr>
              <w:t>QR Code Generator</w:t>
            </w:r>
          </w:p>
        </w:tc>
        <w:tc>
          <w:tcPr>
            <w:tcW w:type="dxa" w:w="4320"/>
            <w:shd w:fill="FFFFFF" w:val="clear"/>
            <w:tcMar>
              <w:top w:w="50" w:type="dxa"/>
              <w:bottom w:w="50" w:type="dxa"/>
              <w:left w:w="100" w:type="dxa"/>
              <w:right w:w="100" w:type="dxa"/>
            </w:tcMar>
          </w:tcPr>
          <w:p>
            <w:pPr>
              <w:jc w:val="left"/>
            </w:pPr>
            <w:r/>
            <w:r>
              <w:rPr>
                <w:rFonts w:ascii="Calibri" w:hAnsi="Calibri"/>
                <w:color w:val="1A1A2E"/>
                <w:sz w:val="20"/>
              </w:rPr>
              <w:t>Patient health card and identification QR code generation</w:t>
            </w:r>
          </w:p>
        </w:tc>
      </w:tr>
      <w:tr>
        <w:tc>
          <w:tcPr>
            <w:tcW w:type="dxa" w:w="2160"/>
            <w:shd w:fill="F0F9FF" w:val="clear"/>
            <w:tcMar>
              <w:top w:w="50" w:type="dxa"/>
              <w:bottom w:w="50" w:type="dxa"/>
              <w:left w:w="100" w:type="dxa"/>
              <w:right w:w="100" w:type="dxa"/>
            </w:tcMar>
          </w:tcPr>
          <w:p>
            <w:pPr>
              <w:jc w:val="left"/>
            </w:pPr>
            <w:r/>
            <w:r>
              <w:rPr>
                <w:rFonts w:ascii="Calibri" w:hAnsi="Calibri"/>
                <w:color w:val="1A1A2E"/>
                <w:sz w:val="20"/>
              </w:rPr>
              <w:t>Build Tool</w:t>
            </w:r>
          </w:p>
        </w:tc>
        <w:tc>
          <w:tcPr>
            <w:tcW w:type="dxa" w:w="2880"/>
            <w:shd w:fill="F0F9FF" w:val="clear"/>
            <w:tcMar>
              <w:top w:w="50" w:type="dxa"/>
              <w:bottom w:w="50" w:type="dxa"/>
              <w:left w:w="100" w:type="dxa"/>
              <w:right w:w="100" w:type="dxa"/>
            </w:tcMar>
          </w:tcPr>
          <w:p>
            <w:pPr>
              <w:jc w:val="left"/>
            </w:pPr>
            <w:r/>
            <w:r>
              <w:rPr>
                <w:rFonts w:ascii="Calibri" w:hAnsi="Calibri"/>
                <w:color w:val="1A1A2E"/>
                <w:sz w:val="20"/>
              </w:rPr>
              <w:t>Turbopack</w:t>
            </w:r>
          </w:p>
        </w:tc>
        <w:tc>
          <w:tcPr>
            <w:tcW w:type="dxa" w:w="4320"/>
            <w:shd w:fill="F0F9FF" w:val="clear"/>
            <w:tcMar>
              <w:top w:w="50" w:type="dxa"/>
              <w:bottom w:w="50" w:type="dxa"/>
              <w:left w:w="100" w:type="dxa"/>
              <w:right w:w="100" w:type="dxa"/>
            </w:tcMar>
          </w:tcPr>
          <w:p>
            <w:pPr>
              <w:jc w:val="left"/>
            </w:pPr>
            <w:r/>
            <w:r>
              <w:rPr>
                <w:rFonts w:ascii="Calibri" w:hAnsi="Calibri"/>
                <w:color w:val="1A1A2E"/>
                <w:sz w:val="20"/>
              </w:rPr>
              <w:t>Ultra-fast development builds for rapid iteration</w:t>
            </w:r>
          </w:p>
        </w:tc>
      </w:tr>
      <w:tr>
        <w:tc>
          <w:tcPr>
            <w:tcW w:type="dxa" w:w="2160"/>
            <w:shd w:fill="FFFFFF" w:val="clear"/>
            <w:tcMar>
              <w:top w:w="50" w:type="dxa"/>
              <w:bottom w:w="50" w:type="dxa"/>
              <w:left w:w="100" w:type="dxa"/>
              <w:right w:w="100" w:type="dxa"/>
            </w:tcMar>
          </w:tcPr>
          <w:p>
            <w:pPr>
              <w:jc w:val="left"/>
            </w:pPr>
            <w:r/>
            <w:r>
              <w:rPr>
                <w:rFonts w:ascii="Calibri" w:hAnsi="Calibri"/>
                <w:color w:val="1A1A2E"/>
                <w:sz w:val="20"/>
              </w:rPr>
              <w:t>Deployment</w:t>
            </w:r>
          </w:p>
        </w:tc>
        <w:tc>
          <w:tcPr>
            <w:tcW w:type="dxa" w:w="2880"/>
            <w:shd w:fill="FFFFFF" w:val="clear"/>
            <w:tcMar>
              <w:top w:w="50" w:type="dxa"/>
              <w:bottom w:w="50" w:type="dxa"/>
              <w:left w:w="100" w:type="dxa"/>
              <w:right w:w="100" w:type="dxa"/>
            </w:tcMar>
          </w:tcPr>
          <w:p>
            <w:pPr>
              <w:jc w:val="left"/>
            </w:pPr>
            <w:r/>
            <w:r>
              <w:rPr>
                <w:rFonts w:ascii="Calibri" w:hAnsi="Calibri"/>
                <w:color w:val="1A1A2E"/>
                <w:sz w:val="20"/>
              </w:rPr>
              <w:t>Vercel + Supabase</w:t>
            </w:r>
          </w:p>
        </w:tc>
        <w:tc>
          <w:tcPr>
            <w:tcW w:type="dxa" w:w="4320"/>
            <w:shd w:fill="FFFFFF" w:val="clear"/>
            <w:tcMar>
              <w:top w:w="50" w:type="dxa"/>
              <w:bottom w:w="50" w:type="dxa"/>
              <w:left w:w="100" w:type="dxa"/>
              <w:right w:w="100" w:type="dxa"/>
            </w:tcMar>
          </w:tcPr>
          <w:p>
            <w:pPr>
              <w:jc w:val="left"/>
            </w:pPr>
            <w:r/>
            <w:r>
              <w:rPr>
                <w:rFonts w:ascii="Calibri" w:hAnsi="Calibri"/>
                <w:color w:val="1A1A2E"/>
                <w:sz w:val="20"/>
              </w:rPr>
              <w:t>Zero-config cloud deployment with global CDN and managed database</w:t>
            </w:r>
          </w:p>
        </w:tc>
      </w:tr>
    </w:tbl>
    <w:p>
      <w:pPr>
        <w:spacing w:after="80"/>
      </w:pPr>
    </w:p>
    <w:p>
      <w:r>
        <w:br w:type="page"/>
      </w:r>
    </w:p>
    <w:p>
      <w:pPr>
        <w:pStyle w:val="Heading1"/>
        <w:spacing w:before="360" w:after="120"/>
        <w:jc w:val="left"/>
      </w:pPr>
      <w:r>
        <w:rPr>
          <w:rFonts w:ascii="Calibri" w:hAnsi="Calibri"/>
          <w:color w:val="005B96"/>
        </w:rPr>
        <w:t>11. Platform Statistics &amp; Scale</w:t>
      </w:r>
    </w:p>
    <w:p>
      <w:pPr>
        <w:spacing w:before="80" w:after="80"/>
        <w:pBdr>
          <w:bottom w:val="single" w:sz="6" w:space="1" w:color="0096C7"/>
        </w:pBdr>
      </w:pPr>
    </w:p>
    <w:p>
      <w:pPr>
        <w:spacing w:after="120"/>
        <w:jc w:val="both"/>
      </w:pPr>
      <w:r>
        <w:rPr>
          <w:rFonts w:ascii="Calibri" w:hAnsi="Calibri"/>
          <w:b w:val="0"/>
          <w:i w:val="0"/>
          <w:color w:val="1A1A2E"/>
          <w:sz w:val="22"/>
        </w:rPr>
        <w:t>HospitalOS is a comprehensive, production-ready platform that delivers enterprise-grade functionality across every hospital department. The following metrics illustrate the depth and breadth of the system:</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005B96" w:val="clear"/>
            <w:tcMar>
              <w:top w:w="60" w:type="dxa"/>
              <w:bottom w:w="60" w:type="dxa"/>
              <w:left w:w="100" w:type="dxa"/>
              <w:right w:w="100" w:type="dxa"/>
            </w:tcMar>
          </w:tcPr>
          <w:p>
            <w:pPr>
              <w:jc w:val="center"/>
            </w:pPr>
            <w:r/>
            <w:r>
              <w:rPr>
                <w:rFonts w:ascii="Calibri" w:hAnsi="Calibri"/>
                <w:b/>
                <w:color w:val="FFFFFF"/>
                <w:sz w:val="20"/>
              </w:rPr>
              <w:t>Metric</w:t>
            </w:r>
          </w:p>
        </w:tc>
        <w:tc>
          <w:tcPr>
            <w:tcW w:type="dxa" w:w="1152"/>
            <w:shd w:fill="005B96" w:val="clear"/>
            <w:tcMar>
              <w:top w:w="60" w:type="dxa"/>
              <w:bottom w:w="60" w:type="dxa"/>
              <w:left w:w="100" w:type="dxa"/>
              <w:right w:w="100" w:type="dxa"/>
            </w:tcMar>
          </w:tcPr>
          <w:p>
            <w:pPr>
              <w:jc w:val="center"/>
            </w:pPr>
            <w:r/>
            <w:r>
              <w:rPr>
                <w:rFonts w:ascii="Calibri" w:hAnsi="Calibri"/>
                <w:b/>
                <w:color w:val="FFFFFF"/>
                <w:sz w:val="20"/>
              </w:rPr>
              <w:t>Count</w:t>
            </w:r>
          </w:p>
        </w:tc>
        <w:tc>
          <w:tcPr>
            <w:tcW w:type="dxa" w:w="5616"/>
            <w:shd w:fill="005B96" w:val="clear"/>
            <w:tcMar>
              <w:top w:w="60" w:type="dxa"/>
              <w:bottom w:w="60" w:type="dxa"/>
              <w:left w:w="100" w:type="dxa"/>
              <w:right w:w="100" w:type="dxa"/>
            </w:tcMar>
          </w:tcPr>
          <w:p>
            <w:pPr>
              <w:jc w:val="center"/>
            </w:pPr>
            <w:r/>
            <w:r>
              <w:rPr>
                <w:rFonts w:ascii="Calibri" w:hAnsi="Calibri"/>
                <w:b/>
                <w:color w:val="FFFFFF"/>
                <w:sz w:val="20"/>
              </w:rPr>
              <w:t>Details</w:t>
            </w:r>
          </w:p>
        </w:tc>
      </w:tr>
      <w:tr>
        <w:tc>
          <w:tcPr>
            <w:tcW w:type="dxa" w:w="2592"/>
            <w:shd w:fill="F0F9FF" w:val="clear"/>
            <w:tcMar>
              <w:top w:w="50" w:type="dxa"/>
              <w:bottom w:w="50" w:type="dxa"/>
              <w:left w:w="100" w:type="dxa"/>
              <w:right w:w="100" w:type="dxa"/>
            </w:tcMar>
          </w:tcPr>
          <w:p>
            <w:pPr>
              <w:jc w:val="left"/>
            </w:pPr>
            <w:r/>
            <w:r>
              <w:rPr>
                <w:rFonts w:ascii="Calibri" w:hAnsi="Calibri"/>
                <w:color w:val="1A1A2E"/>
                <w:sz w:val="20"/>
              </w:rPr>
              <w:t>User-Facing Pages</w:t>
            </w:r>
          </w:p>
        </w:tc>
        <w:tc>
          <w:tcPr>
            <w:tcW w:type="dxa" w:w="1152"/>
            <w:shd w:fill="F0F9FF" w:val="clear"/>
            <w:tcMar>
              <w:top w:w="50" w:type="dxa"/>
              <w:bottom w:w="50" w:type="dxa"/>
              <w:left w:w="100" w:type="dxa"/>
              <w:right w:w="100" w:type="dxa"/>
            </w:tcMar>
          </w:tcPr>
          <w:p>
            <w:pPr>
              <w:jc w:val="left"/>
            </w:pPr>
            <w:r/>
            <w:r>
              <w:rPr>
                <w:rFonts w:ascii="Calibri" w:hAnsi="Calibri"/>
                <w:color w:val="1A1A2E"/>
                <w:sz w:val="20"/>
              </w:rPr>
              <w:t>142+</w:t>
            </w:r>
          </w:p>
        </w:tc>
        <w:tc>
          <w:tcPr>
            <w:tcW w:type="dxa" w:w="5616"/>
            <w:shd w:fill="F0F9FF" w:val="clear"/>
            <w:tcMar>
              <w:top w:w="50" w:type="dxa"/>
              <w:bottom w:w="50" w:type="dxa"/>
              <w:left w:w="100" w:type="dxa"/>
              <w:right w:w="100" w:type="dxa"/>
            </w:tcMar>
          </w:tcPr>
          <w:p>
            <w:pPr>
              <w:jc w:val="left"/>
            </w:pPr>
            <w:r/>
            <w:r>
              <w:rPr>
                <w:rFonts w:ascii="Calibri" w:hAnsi="Calibri"/>
                <w:color w:val="1A1A2E"/>
                <w:sz w:val="20"/>
              </w:rPr>
              <w:t>Across all roles: Admin, Doctor, Nurse, Lab, Pharmacy, Reception, Patient, OPD Manager, Finance, HR, Super Admin</w:t>
            </w:r>
          </w:p>
        </w:tc>
      </w:tr>
      <w:tr>
        <w:tc>
          <w:tcPr>
            <w:tcW w:type="dxa" w:w="2592"/>
            <w:shd w:fill="FFFFFF" w:val="clear"/>
            <w:tcMar>
              <w:top w:w="50" w:type="dxa"/>
              <w:bottom w:w="50" w:type="dxa"/>
              <w:left w:w="100" w:type="dxa"/>
              <w:right w:w="100" w:type="dxa"/>
            </w:tcMar>
          </w:tcPr>
          <w:p>
            <w:pPr>
              <w:jc w:val="left"/>
            </w:pPr>
            <w:r/>
            <w:r>
              <w:rPr>
                <w:rFonts w:ascii="Calibri" w:hAnsi="Calibri"/>
                <w:color w:val="1A1A2E"/>
                <w:sz w:val="20"/>
              </w:rPr>
              <w:t>Database Models</w:t>
            </w:r>
          </w:p>
        </w:tc>
        <w:tc>
          <w:tcPr>
            <w:tcW w:type="dxa" w:w="1152"/>
            <w:shd w:fill="FFFFFF" w:val="clear"/>
            <w:tcMar>
              <w:top w:w="50" w:type="dxa"/>
              <w:bottom w:w="50" w:type="dxa"/>
              <w:left w:w="100" w:type="dxa"/>
              <w:right w:w="100" w:type="dxa"/>
            </w:tcMar>
          </w:tcPr>
          <w:p>
            <w:pPr>
              <w:jc w:val="left"/>
            </w:pPr>
            <w:r/>
            <w:r>
              <w:rPr>
                <w:rFonts w:ascii="Calibri" w:hAnsi="Calibri"/>
                <w:color w:val="1A1A2E"/>
                <w:sz w:val="20"/>
              </w:rPr>
              <w:t>87</w:t>
            </w:r>
          </w:p>
        </w:tc>
        <w:tc>
          <w:tcPr>
            <w:tcW w:type="dxa" w:w="5616"/>
            <w:shd w:fill="FFFFFF" w:val="clear"/>
            <w:tcMar>
              <w:top w:w="50" w:type="dxa"/>
              <w:bottom w:w="50" w:type="dxa"/>
              <w:left w:w="100" w:type="dxa"/>
              <w:right w:w="100" w:type="dxa"/>
            </w:tcMar>
          </w:tcPr>
          <w:p>
            <w:pPr>
              <w:jc w:val="left"/>
            </w:pPr>
            <w:r/>
            <w:r>
              <w:rPr>
                <w:rFonts w:ascii="Calibri" w:hAnsi="Calibri"/>
                <w:color w:val="1A1A2E"/>
                <w:sz w:val="20"/>
              </w:rPr>
              <w:t>Comprehensive relational schema covering all clinical, operational, and administrative entities</w:t>
            </w:r>
          </w:p>
        </w:tc>
      </w:tr>
      <w:tr>
        <w:tc>
          <w:tcPr>
            <w:tcW w:type="dxa" w:w="2592"/>
            <w:shd w:fill="F0F9FF" w:val="clear"/>
            <w:tcMar>
              <w:top w:w="50" w:type="dxa"/>
              <w:bottom w:w="50" w:type="dxa"/>
              <w:left w:w="100" w:type="dxa"/>
              <w:right w:w="100" w:type="dxa"/>
            </w:tcMar>
          </w:tcPr>
          <w:p>
            <w:pPr>
              <w:jc w:val="left"/>
            </w:pPr>
            <w:r/>
            <w:r>
              <w:rPr>
                <w:rFonts w:ascii="Calibri" w:hAnsi="Calibri"/>
                <w:color w:val="1A1A2E"/>
                <w:sz w:val="20"/>
              </w:rPr>
              <w:t>Server Actions</w:t>
            </w:r>
          </w:p>
        </w:tc>
        <w:tc>
          <w:tcPr>
            <w:tcW w:type="dxa" w:w="1152"/>
            <w:shd w:fill="F0F9FF" w:val="clear"/>
            <w:tcMar>
              <w:top w:w="50" w:type="dxa"/>
              <w:bottom w:w="50" w:type="dxa"/>
              <w:left w:w="100" w:type="dxa"/>
              <w:right w:w="100" w:type="dxa"/>
            </w:tcMar>
          </w:tcPr>
          <w:p>
            <w:pPr>
              <w:jc w:val="left"/>
            </w:pPr>
            <w:r/>
            <w:r>
              <w:rPr>
                <w:rFonts w:ascii="Calibri" w:hAnsi="Calibri"/>
                <w:color w:val="1A1A2E"/>
                <w:sz w:val="20"/>
              </w:rPr>
              <w:t>33+</w:t>
            </w:r>
          </w:p>
        </w:tc>
        <w:tc>
          <w:tcPr>
            <w:tcW w:type="dxa" w:w="5616"/>
            <w:shd w:fill="F0F9FF" w:val="clear"/>
            <w:tcMar>
              <w:top w:w="50" w:type="dxa"/>
              <w:bottom w:w="50" w:type="dxa"/>
              <w:left w:w="100" w:type="dxa"/>
              <w:right w:w="100" w:type="dxa"/>
            </w:tcMar>
          </w:tcPr>
          <w:p>
            <w:pPr>
              <w:jc w:val="left"/>
            </w:pPr>
            <w:r/>
            <w:r>
              <w:rPr>
                <w:rFonts w:ascii="Calibri" w:hAnsi="Calibri"/>
                <w:color w:val="1A1A2E"/>
                <w:sz w:val="20"/>
              </w:rPr>
              <w:t>Dedicated business logic handlers for complex workflows including registration, billing, claims, and inventory</w:t>
            </w:r>
          </w:p>
        </w:tc>
      </w:tr>
      <w:tr>
        <w:tc>
          <w:tcPr>
            <w:tcW w:type="dxa" w:w="2592"/>
            <w:shd w:fill="FFFFFF" w:val="clear"/>
            <w:tcMar>
              <w:top w:w="50" w:type="dxa"/>
              <w:bottom w:w="50" w:type="dxa"/>
              <w:left w:w="100" w:type="dxa"/>
              <w:right w:w="100" w:type="dxa"/>
            </w:tcMar>
          </w:tcPr>
          <w:p>
            <w:pPr>
              <w:jc w:val="left"/>
            </w:pPr>
            <w:r/>
            <w:r>
              <w:rPr>
                <w:rFonts w:ascii="Calibri" w:hAnsi="Calibri"/>
                <w:color w:val="1A1A2E"/>
                <w:sz w:val="20"/>
              </w:rPr>
              <w:t>API Routes</w:t>
            </w:r>
          </w:p>
        </w:tc>
        <w:tc>
          <w:tcPr>
            <w:tcW w:type="dxa" w:w="1152"/>
            <w:shd w:fill="FFFFFF" w:val="clear"/>
            <w:tcMar>
              <w:top w:w="50" w:type="dxa"/>
              <w:bottom w:w="50" w:type="dxa"/>
              <w:left w:w="100" w:type="dxa"/>
              <w:right w:w="100" w:type="dxa"/>
            </w:tcMar>
          </w:tcPr>
          <w:p>
            <w:pPr>
              <w:jc w:val="left"/>
            </w:pPr>
            <w:r/>
            <w:r>
              <w:rPr>
                <w:rFonts w:ascii="Calibri" w:hAnsi="Calibri"/>
                <w:color w:val="1A1A2E"/>
                <w:sz w:val="20"/>
              </w:rPr>
              <w:t>20+</w:t>
            </w:r>
          </w:p>
        </w:tc>
        <w:tc>
          <w:tcPr>
            <w:tcW w:type="dxa" w:w="5616"/>
            <w:shd w:fill="FFFFFF" w:val="clear"/>
            <w:tcMar>
              <w:top w:w="50" w:type="dxa"/>
              <w:bottom w:w="50" w:type="dxa"/>
              <w:left w:w="100" w:type="dxa"/>
              <w:right w:w="100" w:type="dxa"/>
            </w:tcMar>
          </w:tcPr>
          <w:p>
            <w:pPr>
              <w:jc w:val="left"/>
            </w:pPr>
            <w:r/>
            <w:r>
              <w:rPr>
                <w:rFonts w:ascii="Calibri" w:hAnsi="Calibri"/>
                <w:color w:val="1A1A2E"/>
                <w:sz w:val="20"/>
              </w:rPr>
              <w:t>RESTful integration endpoints for payment gateways, insurance platforms, and third-party services</w:t>
            </w:r>
          </w:p>
        </w:tc>
      </w:tr>
      <w:tr>
        <w:tc>
          <w:tcPr>
            <w:tcW w:type="dxa" w:w="2592"/>
            <w:shd w:fill="F0F9FF" w:val="clear"/>
            <w:tcMar>
              <w:top w:w="50" w:type="dxa"/>
              <w:bottom w:w="50" w:type="dxa"/>
              <w:left w:w="100" w:type="dxa"/>
              <w:right w:w="100" w:type="dxa"/>
            </w:tcMar>
          </w:tcPr>
          <w:p>
            <w:pPr>
              <w:jc w:val="left"/>
            </w:pPr>
            <w:r/>
            <w:r>
              <w:rPr>
                <w:rFonts w:ascii="Calibri" w:hAnsi="Calibri"/>
                <w:color w:val="1A1A2E"/>
                <w:sz w:val="20"/>
              </w:rPr>
              <w:t>User Roles</w:t>
            </w:r>
          </w:p>
        </w:tc>
        <w:tc>
          <w:tcPr>
            <w:tcW w:type="dxa" w:w="1152"/>
            <w:shd w:fill="F0F9FF" w:val="clear"/>
            <w:tcMar>
              <w:top w:w="50" w:type="dxa"/>
              <w:bottom w:w="50" w:type="dxa"/>
              <w:left w:w="100" w:type="dxa"/>
              <w:right w:w="100" w:type="dxa"/>
            </w:tcMar>
          </w:tcPr>
          <w:p>
            <w:pPr>
              <w:jc w:val="left"/>
            </w:pPr>
            <w:r/>
            <w:r>
              <w:rPr>
                <w:rFonts w:ascii="Calibri" w:hAnsi="Calibri"/>
                <w:color w:val="1A1A2E"/>
                <w:sz w:val="20"/>
              </w:rPr>
              <w:t>11+</w:t>
            </w:r>
          </w:p>
        </w:tc>
        <w:tc>
          <w:tcPr>
            <w:tcW w:type="dxa" w:w="5616"/>
            <w:shd w:fill="F0F9FF" w:val="clear"/>
            <w:tcMar>
              <w:top w:w="50" w:type="dxa"/>
              <w:bottom w:w="50" w:type="dxa"/>
              <w:left w:w="100" w:type="dxa"/>
              <w:right w:w="100" w:type="dxa"/>
            </w:tcMar>
          </w:tcPr>
          <w:p>
            <w:pPr>
              <w:jc w:val="left"/>
            </w:pPr>
            <w:r/>
            <w:r>
              <w:rPr>
                <w:rFonts w:ascii="Calibri" w:hAnsi="Calibri"/>
                <w:color w:val="1A1A2E"/>
                <w:sz w:val="20"/>
              </w:rPr>
              <w:t>Super Admin, Hospital Admin, Doctor, Nurse, Lab Technician, Pharmacist, Receptionist, OPD Manager, Finance, HR, Patient</w:t>
            </w:r>
          </w:p>
        </w:tc>
      </w:tr>
      <w:tr>
        <w:tc>
          <w:tcPr>
            <w:tcW w:type="dxa" w:w="2592"/>
            <w:shd w:fill="FFFFFF" w:val="clear"/>
            <w:tcMar>
              <w:top w:w="50" w:type="dxa"/>
              <w:bottom w:w="50" w:type="dxa"/>
              <w:left w:w="100" w:type="dxa"/>
              <w:right w:w="100" w:type="dxa"/>
            </w:tcMar>
          </w:tcPr>
          <w:p>
            <w:pPr>
              <w:jc w:val="left"/>
            </w:pPr>
            <w:r/>
            <w:r>
              <w:rPr>
                <w:rFonts w:ascii="Calibri" w:hAnsi="Calibri"/>
                <w:color w:val="1A1A2E"/>
                <w:sz w:val="20"/>
              </w:rPr>
              <w:t>Modules</w:t>
            </w:r>
          </w:p>
        </w:tc>
        <w:tc>
          <w:tcPr>
            <w:tcW w:type="dxa" w:w="1152"/>
            <w:shd w:fill="FFFFFF" w:val="clear"/>
            <w:tcMar>
              <w:top w:w="50" w:type="dxa"/>
              <w:bottom w:w="50" w:type="dxa"/>
              <w:left w:w="100" w:type="dxa"/>
              <w:right w:w="100" w:type="dxa"/>
            </w:tcMar>
          </w:tcPr>
          <w:p>
            <w:pPr>
              <w:jc w:val="left"/>
            </w:pPr>
            <w:r/>
            <w:r>
              <w:rPr>
                <w:rFonts w:ascii="Calibri" w:hAnsi="Calibri"/>
                <w:color w:val="1A1A2E"/>
                <w:sz w:val="20"/>
              </w:rPr>
              <w:t>15+</w:t>
            </w:r>
          </w:p>
        </w:tc>
        <w:tc>
          <w:tcPr>
            <w:tcW w:type="dxa" w:w="5616"/>
            <w:shd w:fill="FFFFFF" w:val="clear"/>
            <w:tcMar>
              <w:top w:w="50" w:type="dxa"/>
              <w:bottom w:w="50" w:type="dxa"/>
              <w:left w:w="100" w:type="dxa"/>
              <w:right w:w="100" w:type="dxa"/>
            </w:tcMar>
          </w:tcPr>
          <w:p>
            <w:pPr>
              <w:jc w:val="left"/>
            </w:pPr>
            <w:r/>
            <w:r>
              <w:rPr>
                <w:rFonts w:ascii="Calibri" w:hAnsi="Calibri"/>
                <w:color w:val="1A1A2E"/>
                <w:sz w:val="20"/>
              </w:rPr>
              <w:t>Independently configurable modules that can be enabled/disabled per hospital</w:t>
            </w:r>
          </w:p>
        </w:tc>
      </w:tr>
      <w:tr>
        <w:tc>
          <w:tcPr>
            <w:tcW w:type="dxa" w:w="2592"/>
            <w:shd w:fill="F0F9FF" w:val="clear"/>
            <w:tcMar>
              <w:top w:w="50" w:type="dxa"/>
              <w:bottom w:w="50" w:type="dxa"/>
              <w:left w:w="100" w:type="dxa"/>
              <w:right w:w="100" w:type="dxa"/>
            </w:tcMar>
          </w:tcPr>
          <w:p>
            <w:pPr>
              <w:jc w:val="left"/>
            </w:pPr>
            <w:r/>
            <w:r>
              <w:rPr>
                <w:rFonts w:ascii="Calibri" w:hAnsi="Calibri"/>
                <w:color w:val="1A1A2E"/>
                <w:sz w:val="20"/>
              </w:rPr>
              <w:t>Report Types</w:t>
            </w:r>
          </w:p>
        </w:tc>
        <w:tc>
          <w:tcPr>
            <w:tcW w:type="dxa" w:w="1152"/>
            <w:shd w:fill="F0F9FF" w:val="clear"/>
            <w:tcMar>
              <w:top w:w="50" w:type="dxa"/>
              <w:bottom w:w="50" w:type="dxa"/>
              <w:left w:w="100" w:type="dxa"/>
              <w:right w:w="100" w:type="dxa"/>
            </w:tcMar>
          </w:tcPr>
          <w:p>
            <w:pPr>
              <w:jc w:val="left"/>
            </w:pPr>
            <w:r/>
            <w:r>
              <w:rPr>
                <w:rFonts w:ascii="Calibri" w:hAnsi="Calibri"/>
                <w:color w:val="1A1A2E"/>
                <w:sz w:val="20"/>
              </w:rPr>
              <w:t>25+</w:t>
            </w:r>
          </w:p>
        </w:tc>
        <w:tc>
          <w:tcPr>
            <w:tcW w:type="dxa" w:w="5616"/>
            <w:shd w:fill="F0F9FF" w:val="clear"/>
            <w:tcMar>
              <w:top w:w="50" w:type="dxa"/>
              <w:bottom w:w="50" w:type="dxa"/>
              <w:left w:w="100" w:type="dxa"/>
              <w:right w:w="100" w:type="dxa"/>
            </w:tcMar>
          </w:tcPr>
          <w:p>
            <w:pPr>
              <w:jc w:val="left"/>
            </w:pPr>
            <w:r/>
            <w:r>
              <w:rPr>
                <w:rFonts w:ascii="Calibri" w:hAnsi="Calibri"/>
                <w:color w:val="1A1A2E"/>
                <w:sz w:val="20"/>
              </w:rPr>
              <w:t>Financial, clinical, operational, and custom reports with PDF and Excel export</w:t>
            </w:r>
          </w:p>
        </w:tc>
      </w:tr>
      <w:tr>
        <w:tc>
          <w:tcPr>
            <w:tcW w:type="dxa" w:w="2592"/>
            <w:shd w:fill="FFFFFF" w:val="clear"/>
            <w:tcMar>
              <w:top w:w="50" w:type="dxa"/>
              <w:bottom w:w="50" w:type="dxa"/>
              <w:left w:w="100" w:type="dxa"/>
              <w:right w:w="100" w:type="dxa"/>
            </w:tcMar>
          </w:tcPr>
          <w:p>
            <w:pPr>
              <w:jc w:val="left"/>
            </w:pPr>
            <w:r/>
            <w:r>
              <w:rPr>
                <w:rFonts w:ascii="Calibri" w:hAnsi="Calibri"/>
                <w:color w:val="1A1A2E"/>
                <w:sz w:val="20"/>
              </w:rPr>
              <w:t>Alert Categories</w:t>
            </w:r>
          </w:p>
        </w:tc>
        <w:tc>
          <w:tcPr>
            <w:tcW w:type="dxa" w:w="1152"/>
            <w:shd w:fill="FFFFFF" w:val="clear"/>
            <w:tcMar>
              <w:top w:w="50" w:type="dxa"/>
              <w:bottom w:w="50" w:type="dxa"/>
              <w:left w:w="100" w:type="dxa"/>
              <w:right w:w="100" w:type="dxa"/>
            </w:tcMar>
          </w:tcPr>
          <w:p>
            <w:pPr>
              <w:jc w:val="left"/>
            </w:pPr>
            <w:r/>
            <w:r>
              <w:rPr>
                <w:rFonts w:ascii="Calibri" w:hAnsi="Calibri"/>
                <w:color w:val="1A1A2E"/>
                <w:sz w:val="20"/>
              </w:rPr>
              <w:t>6</w:t>
            </w:r>
          </w:p>
        </w:tc>
        <w:tc>
          <w:tcPr>
            <w:tcW w:type="dxa" w:w="5616"/>
            <w:shd w:fill="FFFFFF" w:val="clear"/>
            <w:tcMar>
              <w:top w:w="50" w:type="dxa"/>
              <w:bottom w:w="50" w:type="dxa"/>
              <w:left w:w="100" w:type="dxa"/>
              <w:right w:w="100" w:type="dxa"/>
            </w:tcMar>
          </w:tcPr>
          <w:p>
            <w:pPr>
              <w:jc w:val="left"/>
            </w:pPr>
            <w:r/>
            <w:r>
              <w:rPr>
                <w:rFonts w:ascii="Calibri" w:hAnsi="Calibri"/>
                <w:color w:val="1A1A2E"/>
                <w:sz w:val="20"/>
              </w:rPr>
              <w:t>Clinical, Operational, Financial, Staff, Patient, and System alert categories</w:t>
            </w:r>
          </w:p>
        </w:tc>
      </w:tr>
    </w:tbl>
    <w:p>
      <w:pPr>
        <w:spacing w:after="80"/>
      </w:pPr>
    </w:p>
    <w:p>
      <w:r>
        <w:br w:type="page"/>
      </w:r>
    </w:p>
    <w:p>
      <w:pPr>
        <w:pStyle w:val="Heading1"/>
        <w:spacing w:before="360" w:after="120"/>
        <w:jc w:val="left"/>
      </w:pPr>
      <w:r>
        <w:rPr>
          <w:rFonts w:ascii="Calibri" w:hAnsi="Calibri"/>
          <w:color w:val="005B96"/>
        </w:rPr>
        <w:t>12. Subscription Plans</w:t>
      </w:r>
    </w:p>
    <w:p>
      <w:pPr>
        <w:spacing w:before="80" w:after="80"/>
        <w:pBdr>
          <w:bottom w:val="single" w:sz="6" w:space="1" w:color="0096C7"/>
        </w:pBdr>
      </w:pPr>
    </w:p>
    <w:p>
      <w:pPr>
        <w:spacing w:after="120"/>
        <w:jc w:val="both"/>
      </w:pPr>
      <w:r>
        <w:rPr>
          <w:rFonts w:ascii="Calibri" w:hAnsi="Calibri"/>
          <w:b w:val="0"/>
          <w:i w:val="0"/>
          <w:color w:val="1A1A2E"/>
          <w:sz w:val="22"/>
        </w:rPr>
        <w:t>HospitalOS offers flexible subscription tiers designed to accommodate healthcare institutions of every size, from single-doctor clinics to large multi-branch hospital networks. Each plan includes a tailored feature set, user limits, and support levels.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005B96" w:val="clear"/>
            <w:tcMar>
              <w:top w:w="60" w:type="dxa"/>
              <w:bottom w:w="60" w:type="dxa"/>
              <w:left w:w="100" w:type="dxa"/>
              <w:right w:w="100" w:type="dxa"/>
            </w:tcMar>
          </w:tcPr>
          <w:p>
            <w:pPr>
              <w:jc w:val="center"/>
            </w:pPr>
            <w:r/>
            <w:r>
              <w:rPr>
                <w:rFonts w:ascii="Calibri" w:hAnsi="Calibri"/>
                <w:b/>
                <w:color w:val="FFFFFF"/>
                <w:sz w:val="20"/>
              </w:rPr>
              <w:t>Feature</w:t>
            </w:r>
          </w:p>
        </w:tc>
        <w:tc>
          <w:tcPr>
            <w:tcW w:type="dxa" w:w="1728"/>
            <w:shd w:fill="005B96" w:val="clear"/>
            <w:tcMar>
              <w:top w:w="60" w:type="dxa"/>
              <w:bottom w:w="60" w:type="dxa"/>
              <w:left w:w="100" w:type="dxa"/>
              <w:right w:w="100" w:type="dxa"/>
            </w:tcMar>
          </w:tcPr>
          <w:p>
            <w:pPr>
              <w:jc w:val="center"/>
            </w:pPr>
            <w:r/>
            <w:r>
              <w:rPr>
                <w:rFonts w:ascii="Calibri" w:hAnsi="Calibri"/>
                <w:b/>
                <w:color w:val="FFFFFF"/>
                <w:sz w:val="20"/>
              </w:rPr>
              <w:t>Free / Trial</w:t>
            </w:r>
          </w:p>
        </w:tc>
        <w:tc>
          <w:tcPr>
            <w:tcW w:type="dxa" w:w="1728"/>
            <w:shd w:fill="005B96" w:val="clear"/>
            <w:tcMar>
              <w:top w:w="60" w:type="dxa"/>
              <w:bottom w:w="60" w:type="dxa"/>
              <w:left w:w="100" w:type="dxa"/>
              <w:right w:w="100" w:type="dxa"/>
            </w:tcMar>
          </w:tcPr>
          <w:p>
            <w:pPr>
              <w:jc w:val="center"/>
            </w:pPr>
            <w:r/>
            <w:r>
              <w:rPr>
                <w:rFonts w:ascii="Calibri" w:hAnsi="Calibri"/>
                <w:b/>
                <w:color w:val="FFFFFF"/>
                <w:sz w:val="20"/>
              </w:rPr>
              <w:t>Starter</w:t>
            </w:r>
          </w:p>
        </w:tc>
        <w:tc>
          <w:tcPr>
            <w:tcW w:type="dxa" w:w="2160"/>
            <w:shd w:fill="005B96" w:val="clear"/>
            <w:tcMar>
              <w:top w:w="60" w:type="dxa"/>
              <w:bottom w:w="60" w:type="dxa"/>
              <w:left w:w="100" w:type="dxa"/>
              <w:right w:w="100" w:type="dxa"/>
            </w:tcMar>
          </w:tcPr>
          <w:p>
            <w:pPr>
              <w:jc w:val="center"/>
            </w:pPr>
            <w:r/>
            <w:r>
              <w:rPr>
                <w:rFonts w:ascii="Calibri" w:hAnsi="Calibri"/>
                <w:b/>
                <w:color w:val="FFFFFF"/>
                <w:sz w:val="20"/>
              </w:rPr>
              <w:t>Professional</w:t>
            </w:r>
          </w:p>
        </w:tc>
        <w:tc>
          <w:tcPr>
            <w:tcW w:type="dxa" w:w="2160"/>
            <w:shd w:fill="005B96" w:val="clear"/>
            <w:tcMar>
              <w:top w:w="60" w:type="dxa"/>
              <w:bottom w:w="60" w:type="dxa"/>
              <w:left w:w="100" w:type="dxa"/>
              <w:right w:w="100" w:type="dxa"/>
            </w:tcMar>
          </w:tcPr>
          <w:p>
            <w:pPr>
              <w:jc w:val="center"/>
            </w:pPr>
            <w:r/>
            <w:r>
              <w:rPr>
                <w:rFonts w:ascii="Calibri" w:hAnsi="Calibri"/>
                <w:b/>
                <w:color w:val="FFFFFF"/>
                <w:sz w:val="20"/>
              </w:rPr>
              <w:t>Enterprise</w:t>
            </w:r>
          </w:p>
        </w:tc>
      </w:tr>
      <w:tr>
        <w:tc>
          <w:tcPr>
            <w:tcW w:type="dxa" w:w="2160"/>
            <w:shd w:fill="F0F9FF" w:val="clear"/>
            <w:tcMar>
              <w:top w:w="50" w:type="dxa"/>
              <w:bottom w:w="50" w:type="dxa"/>
              <w:left w:w="100" w:type="dxa"/>
              <w:right w:w="100" w:type="dxa"/>
            </w:tcMar>
          </w:tcPr>
          <w:p>
            <w:pPr>
              <w:jc w:val="left"/>
            </w:pPr>
            <w:r/>
            <w:r>
              <w:rPr>
                <w:rFonts w:ascii="Calibri" w:hAnsi="Calibri"/>
                <w:color w:val="1A1A2E"/>
                <w:sz w:val="20"/>
              </w:rPr>
              <w:t>Target Audience</w:t>
            </w:r>
          </w:p>
        </w:tc>
        <w:tc>
          <w:tcPr>
            <w:tcW w:type="dxa" w:w="1728"/>
            <w:shd w:fill="F0F9FF" w:val="clear"/>
            <w:tcMar>
              <w:top w:w="50" w:type="dxa"/>
              <w:bottom w:w="50" w:type="dxa"/>
              <w:left w:w="100" w:type="dxa"/>
              <w:right w:w="100" w:type="dxa"/>
            </w:tcMar>
          </w:tcPr>
          <w:p>
            <w:pPr>
              <w:jc w:val="left"/>
            </w:pPr>
            <w:r/>
            <w:r>
              <w:rPr>
                <w:rFonts w:ascii="Calibri" w:hAnsi="Calibri"/>
                <w:color w:val="1A1A2E"/>
                <w:sz w:val="20"/>
              </w:rPr>
              <w:t>Evaluation</w:t>
            </w:r>
          </w:p>
        </w:tc>
        <w:tc>
          <w:tcPr>
            <w:tcW w:type="dxa" w:w="1728"/>
            <w:shd w:fill="F0F9FF" w:val="clear"/>
            <w:tcMar>
              <w:top w:w="50" w:type="dxa"/>
              <w:bottom w:w="50" w:type="dxa"/>
              <w:left w:w="100" w:type="dxa"/>
              <w:right w:w="100" w:type="dxa"/>
            </w:tcMar>
          </w:tcPr>
          <w:p>
            <w:pPr>
              <w:jc w:val="left"/>
            </w:pPr>
            <w:r/>
            <w:r>
              <w:rPr>
                <w:rFonts w:ascii="Calibri" w:hAnsi="Calibri"/>
                <w:color w:val="1A1A2E"/>
                <w:sz w:val="20"/>
              </w:rPr>
              <w:t>Small Clinics</w:t>
            </w:r>
          </w:p>
        </w:tc>
        <w:tc>
          <w:tcPr>
            <w:tcW w:type="dxa" w:w="2160"/>
            <w:shd w:fill="F0F9FF" w:val="clear"/>
            <w:tcMar>
              <w:top w:w="50" w:type="dxa"/>
              <w:bottom w:w="50" w:type="dxa"/>
              <w:left w:w="100" w:type="dxa"/>
              <w:right w:w="100" w:type="dxa"/>
            </w:tcMar>
          </w:tcPr>
          <w:p>
            <w:pPr>
              <w:jc w:val="left"/>
            </w:pPr>
            <w:r/>
            <w:r>
              <w:rPr>
                <w:rFonts w:ascii="Calibri" w:hAnsi="Calibri"/>
                <w:color w:val="1A1A2E"/>
                <w:sz w:val="20"/>
              </w:rPr>
              <w:t>Mid-Size Hospitals</w:t>
            </w:r>
          </w:p>
        </w:tc>
        <w:tc>
          <w:tcPr>
            <w:tcW w:type="dxa" w:w="2160"/>
            <w:shd w:fill="F0F9FF" w:val="clear"/>
            <w:tcMar>
              <w:top w:w="50" w:type="dxa"/>
              <w:bottom w:w="50" w:type="dxa"/>
              <w:left w:w="100" w:type="dxa"/>
              <w:right w:w="100" w:type="dxa"/>
            </w:tcMar>
          </w:tcPr>
          <w:p>
            <w:pPr>
              <w:jc w:val="left"/>
            </w:pPr>
            <w:r/>
            <w:r>
              <w:rPr>
                <w:rFonts w:ascii="Calibri" w:hAnsi="Calibri"/>
                <w:color w:val="1A1A2E"/>
                <w:sz w:val="20"/>
              </w:rPr>
              <w:t>Hospital Chains</w:t>
            </w:r>
          </w:p>
        </w:tc>
      </w:tr>
      <w:tr>
        <w:tc>
          <w:tcPr>
            <w:tcW w:type="dxa" w:w="2160"/>
            <w:shd w:fill="FFFFFF" w:val="clear"/>
            <w:tcMar>
              <w:top w:w="50" w:type="dxa"/>
              <w:bottom w:w="50" w:type="dxa"/>
              <w:left w:w="100" w:type="dxa"/>
              <w:right w:w="100" w:type="dxa"/>
            </w:tcMar>
          </w:tcPr>
          <w:p>
            <w:pPr>
              <w:jc w:val="left"/>
            </w:pPr>
            <w:r/>
            <w:r>
              <w:rPr>
                <w:rFonts w:ascii="Calibri" w:hAnsi="Calibri"/>
                <w:color w:val="1A1A2E"/>
                <w:sz w:val="20"/>
              </w:rPr>
              <w:t>Users</w:t>
            </w:r>
          </w:p>
        </w:tc>
        <w:tc>
          <w:tcPr>
            <w:tcW w:type="dxa" w:w="1728"/>
            <w:shd w:fill="FFFFFF" w:val="clear"/>
            <w:tcMar>
              <w:top w:w="50" w:type="dxa"/>
              <w:bottom w:w="50" w:type="dxa"/>
              <w:left w:w="100" w:type="dxa"/>
              <w:right w:w="100" w:type="dxa"/>
            </w:tcMar>
          </w:tcPr>
          <w:p>
            <w:pPr>
              <w:jc w:val="left"/>
            </w:pPr>
            <w:r/>
            <w:r>
              <w:rPr>
                <w:rFonts w:ascii="Calibri" w:hAnsi="Calibri"/>
                <w:color w:val="1A1A2E"/>
                <w:sz w:val="20"/>
              </w:rPr>
              <w:t>Up to 5</w:t>
            </w:r>
          </w:p>
        </w:tc>
        <w:tc>
          <w:tcPr>
            <w:tcW w:type="dxa" w:w="1728"/>
            <w:shd w:fill="FFFFFF" w:val="clear"/>
            <w:tcMar>
              <w:top w:w="50" w:type="dxa"/>
              <w:bottom w:w="50" w:type="dxa"/>
              <w:left w:w="100" w:type="dxa"/>
              <w:right w:w="100" w:type="dxa"/>
            </w:tcMar>
          </w:tcPr>
          <w:p>
            <w:pPr>
              <w:jc w:val="left"/>
            </w:pPr>
            <w:r/>
            <w:r>
              <w:rPr>
                <w:rFonts w:ascii="Calibri" w:hAnsi="Calibri"/>
                <w:color w:val="1A1A2E"/>
                <w:sz w:val="20"/>
              </w:rPr>
              <w:t>Up to 25</w:t>
            </w:r>
          </w:p>
        </w:tc>
        <w:tc>
          <w:tcPr>
            <w:tcW w:type="dxa" w:w="2160"/>
            <w:shd w:fill="FFFFFF" w:val="clear"/>
            <w:tcMar>
              <w:top w:w="50" w:type="dxa"/>
              <w:bottom w:w="50" w:type="dxa"/>
              <w:left w:w="100" w:type="dxa"/>
              <w:right w:w="100" w:type="dxa"/>
            </w:tcMar>
          </w:tcPr>
          <w:p>
            <w:pPr>
              <w:jc w:val="left"/>
            </w:pPr>
            <w:r/>
            <w:r>
              <w:rPr>
                <w:rFonts w:ascii="Calibri" w:hAnsi="Calibri"/>
                <w:color w:val="1A1A2E"/>
                <w:sz w:val="20"/>
              </w:rPr>
              <w:t>Up to 100</w:t>
            </w:r>
          </w:p>
        </w:tc>
        <w:tc>
          <w:tcPr>
            <w:tcW w:type="dxa" w:w="2160"/>
            <w:shd w:fill="FFFFFF" w:val="clear"/>
            <w:tcMar>
              <w:top w:w="50" w:type="dxa"/>
              <w:bottom w:w="50" w:type="dxa"/>
              <w:left w:w="100" w:type="dxa"/>
              <w:right w:w="100" w:type="dxa"/>
            </w:tcMar>
          </w:tcPr>
          <w:p>
            <w:pPr>
              <w:jc w:val="left"/>
            </w:pPr>
            <w:r/>
            <w:r>
              <w:rPr>
                <w:rFonts w:ascii="Calibri" w:hAnsi="Calibri"/>
                <w:color w:val="1A1A2E"/>
                <w:sz w:val="20"/>
              </w:rPr>
              <w:t>Unlimited</w:t>
            </w:r>
          </w:p>
        </w:tc>
      </w:tr>
      <w:tr>
        <w:tc>
          <w:tcPr>
            <w:tcW w:type="dxa" w:w="2160"/>
            <w:shd w:fill="F0F9FF" w:val="clear"/>
            <w:tcMar>
              <w:top w:w="50" w:type="dxa"/>
              <w:bottom w:w="50" w:type="dxa"/>
              <w:left w:w="100" w:type="dxa"/>
              <w:right w:w="100" w:type="dxa"/>
            </w:tcMar>
          </w:tcPr>
          <w:p>
            <w:pPr>
              <w:jc w:val="left"/>
            </w:pPr>
            <w:r/>
            <w:r>
              <w:rPr>
                <w:rFonts w:ascii="Calibri" w:hAnsi="Calibri"/>
                <w:color w:val="1A1A2E"/>
                <w:sz w:val="20"/>
              </w:rPr>
              <w:t>Branches</w:t>
            </w:r>
          </w:p>
        </w:tc>
        <w:tc>
          <w:tcPr>
            <w:tcW w:type="dxa" w:w="1728"/>
            <w:shd w:fill="F0F9FF" w:val="clear"/>
            <w:tcMar>
              <w:top w:w="50" w:type="dxa"/>
              <w:bottom w:w="50" w:type="dxa"/>
              <w:left w:w="100" w:type="dxa"/>
              <w:right w:w="100" w:type="dxa"/>
            </w:tcMar>
          </w:tcPr>
          <w:p>
            <w:pPr>
              <w:jc w:val="left"/>
            </w:pPr>
            <w:r/>
            <w:r>
              <w:rPr>
                <w:rFonts w:ascii="Calibri" w:hAnsi="Calibri"/>
                <w:color w:val="1A1A2E"/>
                <w:sz w:val="20"/>
              </w:rPr>
              <w:t>1</w:t>
            </w:r>
          </w:p>
        </w:tc>
        <w:tc>
          <w:tcPr>
            <w:tcW w:type="dxa" w:w="1728"/>
            <w:shd w:fill="F0F9FF" w:val="clear"/>
            <w:tcMar>
              <w:top w:w="50" w:type="dxa"/>
              <w:bottom w:w="50" w:type="dxa"/>
              <w:left w:w="100" w:type="dxa"/>
              <w:right w:w="100" w:type="dxa"/>
            </w:tcMar>
          </w:tcPr>
          <w:p>
            <w:pPr>
              <w:jc w:val="left"/>
            </w:pPr>
            <w:r/>
            <w:r>
              <w:rPr>
                <w:rFonts w:ascii="Calibri" w:hAnsi="Calibri"/>
                <w:color w:val="1A1A2E"/>
                <w:sz w:val="20"/>
              </w:rPr>
              <w:t>1</w:t>
            </w:r>
          </w:p>
        </w:tc>
        <w:tc>
          <w:tcPr>
            <w:tcW w:type="dxa" w:w="2160"/>
            <w:shd w:fill="F0F9FF" w:val="clear"/>
            <w:tcMar>
              <w:top w:w="50" w:type="dxa"/>
              <w:bottom w:w="50" w:type="dxa"/>
              <w:left w:w="100" w:type="dxa"/>
              <w:right w:w="100" w:type="dxa"/>
            </w:tcMar>
          </w:tcPr>
          <w:p>
            <w:pPr>
              <w:jc w:val="left"/>
            </w:pPr>
            <w:r/>
            <w:r>
              <w:rPr>
                <w:rFonts w:ascii="Calibri" w:hAnsi="Calibri"/>
                <w:color w:val="1A1A2E"/>
                <w:sz w:val="20"/>
              </w:rPr>
              <w:t>Up to 3</w:t>
            </w:r>
          </w:p>
        </w:tc>
        <w:tc>
          <w:tcPr>
            <w:tcW w:type="dxa" w:w="2160"/>
            <w:shd w:fill="F0F9FF" w:val="clear"/>
            <w:tcMar>
              <w:top w:w="50" w:type="dxa"/>
              <w:bottom w:w="50" w:type="dxa"/>
              <w:left w:w="100" w:type="dxa"/>
              <w:right w:w="100" w:type="dxa"/>
            </w:tcMar>
          </w:tcPr>
          <w:p>
            <w:pPr>
              <w:jc w:val="left"/>
            </w:pPr>
            <w:r/>
            <w:r>
              <w:rPr>
                <w:rFonts w:ascii="Calibri" w:hAnsi="Calibri"/>
                <w:color w:val="1A1A2E"/>
                <w:sz w:val="20"/>
              </w:rPr>
              <w:t>Unlimited</w:t>
            </w:r>
          </w:p>
        </w:tc>
      </w:tr>
      <w:tr>
        <w:tc>
          <w:tcPr>
            <w:tcW w:type="dxa" w:w="2160"/>
            <w:shd w:fill="FFFFFF" w:val="clear"/>
            <w:tcMar>
              <w:top w:w="50" w:type="dxa"/>
              <w:bottom w:w="50" w:type="dxa"/>
              <w:left w:w="100" w:type="dxa"/>
              <w:right w:w="100" w:type="dxa"/>
            </w:tcMar>
          </w:tcPr>
          <w:p>
            <w:pPr>
              <w:jc w:val="left"/>
            </w:pPr>
            <w:r/>
            <w:r>
              <w:rPr>
                <w:rFonts w:ascii="Calibri" w:hAnsi="Calibri"/>
                <w:color w:val="1A1A2E"/>
                <w:sz w:val="20"/>
              </w:rPr>
              <w:t>Core Modules</w:t>
            </w:r>
          </w:p>
        </w:tc>
        <w:tc>
          <w:tcPr>
            <w:tcW w:type="dxa" w:w="1728"/>
            <w:shd w:fill="FFFFFF" w:val="clear"/>
            <w:tcMar>
              <w:top w:w="50" w:type="dxa"/>
              <w:bottom w:w="50" w:type="dxa"/>
              <w:left w:w="100" w:type="dxa"/>
              <w:right w:w="100" w:type="dxa"/>
            </w:tcMar>
          </w:tcPr>
          <w:p>
            <w:pPr>
              <w:jc w:val="left"/>
            </w:pPr>
            <w:r/>
            <w:r>
              <w:rPr>
                <w:rFonts w:ascii="Calibri" w:hAnsi="Calibri"/>
                <w:color w:val="1A1A2E"/>
                <w:sz w:val="20"/>
              </w:rPr>
              <w:t>Reception, Doctor, Lab</w:t>
            </w:r>
          </w:p>
        </w:tc>
        <w:tc>
          <w:tcPr>
            <w:tcW w:type="dxa" w:w="1728"/>
            <w:shd w:fill="FFFFFF" w:val="clear"/>
            <w:tcMar>
              <w:top w:w="50" w:type="dxa"/>
              <w:bottom w:w="50" w:type="dxa"/>
              <w:left w:w="100" w:type="dxa"/>
              <w:right w:w="100" w:type="dxa"/>
            </w:tcMar>
          </w:tcPr>
          <w:p>
            <w:pPr>
              <w:jc w:val="left"/>
            </w:pPr>
            <w:r/>
            <w:r>
              <w:rPr>
                <w:rFonts w:ascii="Calibri" w:hAnsi="Calibri"/>
                <w:color w:val="1A1A2E"/>
                <w:sz w:val="20"/>
              </w:rPr>
              <w:t>All Core Modules</w:t>
            </w:r>
          </w:p>
        </w:tc>
        <w:tc>
          <w:tcPr>
            <w:tcW w:type="dxa" w:w="2160"/>
            <w:shd w:fill="FFFFFF" w:val="clear"/>
            <w:tcMar>
              <w:top w:w="50" w:type="dxa"/>
              <w:bottom w:w="50" w:type="dxa"/>
              <w:left w:w="100" w:type="dxa"/>
              <w:right w:w="100" w:type="dxa"/>
            </w:tcMar>
          </w:tcPr>
          <w:p>
            <w:pPr>
              <w:jc w:val="left"/>
            </w:pPr>
            <w:r/>
            <w:r>
              <w:rPr>
                <w:rFonts w:ascii="Calibri" w:hAnsi="Calibri"/>
                <w:color w:val="1A1A2E"/>
                <w:sz w:val="20"/>
              </w:rPr>
              <w:t>All Modules</w:t>
            </w:r>
          </w:p>
        </w:tc>
        <w:tc>
          <w:tcPr>
            <w:tcW w:type="dxa" w:w="2160"/>
            <w:shd w:fill="FFFFFF" w:val="clear"/>
            <w:tcMar>
              <w:top w:w="50" w:type="dxa"/>
              <w:bottom w:w="50" w:type="dxa"/>
              <w:left w:w="100" w:type="dxa"/>
              <w:right w:w="100" w:type="dxa"/>
            </w:tcMar>
          </w:tcPr>
          <w:p>
            <w:pPr>
              <w:jc w:val="left"/>
            </w:pPr>
            <w:r/>
            <w:r>
              <w:rPr>
                <w:rFonts w:ascii="Calibri" w:hAnsi="Calibri"/>
                <w:color w:val="1A1A2E"/>
                <w:sz w:val="20"/>
              </w:rPr>
              <w:t>All Modules + Custom</w:t>
            </w:r>
          </w:p>
        </w:tc>
      </w:tr>
      <w:tr>
        <w:tc>
          <w:tcPr>
            <w:tcW w:type="dxa" w:w="2160"/>
            <w:shd w:fill="F0F9FF" w:val="clear"/>
            <w:tcMar>
              <w:top w:w="50" w:type="dxa"/>
              <w:bottom w:w="50" w:type="dxa"/>
              <w:left w:w="100" w:type="dxa"/>
              <w:right w:w="100" w:type="dxa"/>
            </w:tcMar>
          </w:tcPr>
          <w:p>
            <w:pPr>
              <w:jc w:val="left"/>
            </w:pPr>
            <w:r/>
            <w:r>
              <w:rPr>
                <w:rFonts w:ascii="Calibri" w:hAnsi="Calibri"/>
                <w:color w:val="1A1A2E"/>
                <w:sz w:val="20"/>
              </w:rPr>
              <w:t>Patient Portal</w:t>
            </w:r>
          </w:p>
        </w:tc>
        <w:tc>
          <w:tcPr>
            <w:tcW w:type="dxa" w:w="1728"/>
            <w:shd w:fill="F0F9FF" w:val="clear"/>
            <w:tcMar>
              <w:top w:w="50" w:type="dxa"/>
              <w:bottom w:w="50" w:type="dxa"/>
              <w:left w:w="100" w:type="dxa"/>
              <w:right w:w="100" w:type="dxa"/>
            </w:tcMar>
          </w:tcPr>
          <w:p>
            <w:pPr>
              <w:jc w:val="left"/>
            </w:pPr>
            <w:r/>
            <w:r>
              <w:rPr>
                <w:rFonts w:ascii="Calibri" w:hAnsi="Calibri"/>
                <w:color w:val="1A1A2E"/>
                <w:sz w:val="20"/>
              </w:rPr>
              <w:t>Basic</w:t>
            </w:r>
          </w:p>
        </w:tc>
        <w:tc>
          <w:tcPr>
            <w:tcW w:type="dxa" w:w="1728"/>
            <w:shd w:fill="F0F9FF" w:val="clear"/>
            <w:tcMar>
              <w:top w:w="50" w:type="dxa"/>
              <w:bottom w:w="50" w:type="dxa"/>
              <w:left w:w="100" w:type="dxa"/>
              <w:right w:w="100" w:type="dxa"/>
            </w:tcMar>
          </w:tcPr>
          <w:p>
            <w:pPr>
              <w:jc w:val="left"/>
            </w:pPr>
            <w:r/>
            <w:r>
              <w:rPr>
                <w:rFonts w:ascii="Calibri" w:hAnsi="Calibri"/>
                <w:color w:val="1A1A2E"/>
                <w:sz w:val="20"/>
              </w:rPr>
              <w:t>Full</w:t>
            </w:r>
          </w:p>
        </w:tc>
        <w:tc>
          <w:tcPr>
            <w:tcW w:type="dxa" w:w="2160"/>
            <w:shd w:fill="F0F9FF" w:val="clear"/>
            <w:tcMar>
              <w:top w:w="50" w:type="dxa"/>
              <w:bottom w:w="50" w:type="dxa"/>
              <w:left w:w="100" w:type="dxa"/>
              <w:right w:w="100" w:type="dxa"/>
            </w:tcMar>
          </w:tcPr>
          <w:p>
            <w:pPr>
              <w:jc w:val="left"/>
            </w:pPr>
            <w:r/>
            <w:r>
              <w:rPr>
                <w:rFonts w:ascii="Calibri" w:hAnsi="Calibri"/>
                <w:color w:val="1A1A2E"/>
                <w:sz w:val="20"/>
              </w:rPr>
              <w:t>Full + AI Features</w:t>
            </w:r>
          </w:p>
        </w:tc>
        <w:tc>
          <w:tcPr>
            <w:tcW w:type="dxa" w:w="2160"/>
            <w:shd w:fill="F0F9FF" w:val="clear"/>
            <w:tcMar>
              <w:top w:w="50" w:type="dxa"/>
              <w:bottom w:w="50" w:type="dxa"/>
              <w:left w:w="100" w:type="dxa"/>
              <w:right w:w="100" w:type="dxa"/>
            </w:tcMar>
          </w:tcPr>
          <w:p>
            <w:pPr>
              <w:jc w:val="left"/>
            </w:pPr>
            <w:r/>
            <w:r>
              <w:rPr>
                <w:rFonts w:ascii="Calibri" w:hAnsi="Calibri"/>
                <w:color w:val="1A1A2E"/>
                <w:sz w:val="20"/>
              </w:rPr>
              <w:t>Full + White-Label</w:t>
            </w:r>
          </w:p>
        </w:tc>
      </w:tr>
      <w:tr>
        <w:tc>
          <w:tcPr>
            <w:tcW w:type="dxa" w:w="2160"/>
            <w:shd w:fill="FFFFFF" w:val="clear"/>
            <w:tcMar>
              <w:top w:w="50" w:type="dxa"/>
              <w:bottom w:w="50" w:type="dxa"/>
              <w:left w:w="100" w:type="dxa"/>
              <w:right w:w="100" w:type="dxa"/>
            </w:tcMar>
          </w:tcPr>
          <w:p>
            <w:pPr>
              <w:jc w:val="left"/>
            </w:pPr>
            <w:r/>
            <w:r>
              <w:rPr>
                <w:rFonts w:ascii="Calibri" w:hAnsi="Calibri"/>
                <w:color w:val="1A1A2E"/>
                <w:sz w:val="20"/>
              </w:rPr>
              <w:t>AI Features</w:t>
            </w:r>
          </w:p>
        </w:tc>
        <w:tc>
          <w:tcPr>
            <w:tcW w:type="dxa" w:w="1728"/>
            <w:shd w:fill="FFFFFF" w:val="clear"/>
            <w:tcMar>
              <w:top w:w="50" w:type="dxa"/>
              <w:bottom w:w="50" w:type="dxa"/>
              <w:left w:w="100" w:type="dxa"/>
              <w:right w:w="100" w:type="dxa"/>
            </w:tcMar>
          </w:tcPr>
          <w:p>
            <w:pPr>
              <w:jc w:val="left"/>
            </w:pPr>
            <w:r/>
            <w:r>
              <w:rPr>
                <w:rFonts w:ascii="Calibri" w:hAnsi="Calibri"/>
                <w:color w:val="1A1A2E"/>
                <w:sz w:val="20"/>
              </w:rPr>
              <w:t>—</w:t>
            </w:r>
          </w:p>
        </w:tc>
        <w:tc>
          <w:tcPr>
            <w:tcW w:type="dxa" w:w="1728"/>
            <w:shd w:fill="FFFFFF" w:val="clear"/>
            <w:tcMar>
              <w:top w:w="50" w:type="dxa"/>
              <w:bottom w:w="50" w:type="dxa"/>
              <w:left w:w="100" w:type="dxa"/>
              <w:right w:w="100" w:type="dxa"/>
            </w:tcMar>
          </w:tcPr>
          <w:p>
            <w:pPr>
              <w:jc w:val="left"/>
            </w:pPr>
            <w:r/>
            <w:r>
              <w:rPr>
                <w:rFonts w:ascii="Calibri" w:hAnsi="Calibri"/>
                <w:color w:val="1A1A2E"/>
                <w:sz w:val="20"/>
              </w:rPr>
              <w:t>Basic Triage</w:t>
            </w:r>
          </w:p>
        </w:tc>
        <w:tc>
          <w:tcPr>
            <w:tcW w:type="dxa" w:w="2160"/>
            <w:shd w:fill="FFFFFF" w:val="clear"/>
            <w:tcMar>
              <w:top w:w="50" w:type="dxa"/>
              <w:bottom w:w="50" w:type="dxa"/>
              <w:left w:w="100" w:type="dxa"/>
              <w:right w:w="100" w:type="dxa"/>
            </w:tcMar>
          </w:tcPr>
          <w:p>
            <w:pPr>
              <w:jc w:val="left"/>
            </w:pPr>
            <w:r/>
            <w:r>
              <w:rPr>
                <w:rFonts w:ascii="Calibri" w:hAnsi="Calibri"/>
                <w:color w:val="1A1A2E"/>
                <w:sz w:val="20"/>
              </w:rPr>
              <w:t>Full AI Suite</w:t>
            </w:r>
          </w:p>
        </w:tc>
        <w:tc>
          <w:tcPr>
            <w:tcW w:type="dxa" w:w="2160"/>
            <w:shd w:fill="FFFFFF" w:val="clear"/>
            <w:tcMar>
              <w:top w:w="50" w:type="dxa"/>
              <w:bottom w:w="50" w:type="dxa"/>
              <w:left w:w="100" w:type="dxa"/>
              <w:right w:w="100" w:type="dxa"/>
            </w:tcMar>
          </w:tcPr>
          <w:p>
            <w:pPr>
              <w:jc w:val="left"/>
            </w:pPr>
            <w:r/>
            <w:r>
              <w:rPr>
                <w:rFonts w:ascii="Calibri" w:hAnsi="Calibri"/>
                <w:color w:val="1A1A2E"/>
                <w:sz w:val="20"/>
              </w:rPr>
              <w:t>Full AI + Custom Models</w:t>
            </w:r>
          </w:p>
        </w:tc>
      </w:tr>
      <w:tr>
        <w:tc>
          <w:tcPr>
            <w:tcW w:type="dxa" w:w="2160"/>
            <w:shd w:fill="F0F9FF" w:val="clear"/>
            <w:tcMar>
              <w:top w:w="50" w:type="dxa"/>
              <w:bottom w:w="50" w:type="dxa"/>
              <w:left w:w="100" w:type="dxa"/>
              <w:right w:w="100" w:type="dxa"/>
            </w:tcMar>
          </w:tcPr>
          <w:p>
            <w:pPr>
              <w:jc w:val="left"/>
            </w:pPr>
            <w:r/>
            <w:r>
              <w:rPr>
                <w:rFonts w:ascii="Calibri" w:hAnsi="Calibri"/>
                <w:color w:val="1A1A2E"/>
                <w:sz w:val="20"/>
              </w:rPr>
              <w:t>Insurance/TPA</w:t>
            </w:r>
          </w:p>
        </w:tc>
        <w:tc>
          <w:tcPr>
            <w:tcW w:type="dxa" w:w="1728"/>
            <w:shd w:fill="F0F9FF" w:val="clear"/>
            <w:tcMar>
              <w:top w:w="50" w:type="dxa"/>
              <w:bottom w:w="50" w:type="dxa"/>
              <w:left w:w="100" w:type="dxa"/>
              <w:right w:w="100" w:type="dxa"/>
            </w:tcMar>
          </w:tcPr>
          <w:p>
            <w:pPr>
              <w:jc w:val="left"/>
            </w:pPr>
            <w:r/>
            <w:r>
              <w:rPr>
                <w:rFonts w:ascii="Calibri" w:hAnsi="Calibri"/>
                <w:color w:val="1A1A2E"/>
                <w:sz w:val="20"/>
              </w:rPr>
              <w:t>—</w:t>
            </w:r>
          </w:p>
        </w:tc>
        <w:tc>
          <w:tcPr>
            <w:tcW w:type="dxa" w:w="1728"/>
            <w:shd w:fill="F0F9FF" w:val="clear"/>
            <w:tcMar>
              <w:top w:w="50" w:type="dxa"/>
              <w:bottom w:w="50" w:type="dxa"/>
              <w:left w:w="100" w:type="dxa"/>
              <w:right w:w="100" w:type="dxa"/>
            </w:tcMar>
          </w:tcPr>
          <w:p>
            <w:pPr>
              <w:jc w:val="left"/>
            </w:pPr>
            <w:r/>
            <w:r>
              <w:rPr>
                <w:rFonts w:ascii="Calibri" w:hAnsi="Calibri"/>
                <w:color w:val="1A1A2E"/>
                <w:sz w:val="20"/>
              </w:rPr>
              <w:t>Basic Claims</w:t>
            </w:r>
          </w:p>
        </w:tc>
        <w:tc>
          <w:tcPr>
            <w:tcW w:type="dxa" w:w="2160"/>
            <w:shd w:fill="F0F9FF" w:val="clear"/>
            <w:tcMar>
              <w:top w:w="50" w:type="dxa"/>
              <w:bottom w:w="50" w:type="dxa"/>
              <w:left w:w="100" w:type="dxa"/>
              <w:right w:w="100" w:type="dxa"/>
            </w:tcMar>
          </w:tcPr>
          <w:p>
            <w:pPr>
              <w:jc w:val="left"/>
            </w:pPr>
            <w:r/>
            <w:r>
              <w:rPr>
                <w:rFonts w:ascii="Calibri" w:hAnsi="Calibri"/>
                <w:color w:val="1A1A2E"/>
                <w:sz w:val="20"/>
              </w:rPr>
              <w:t>Full Integration</w:t>
            </w:r>
          </w:p>
        </w:tc>
        <w:tc>
          <w:tcPr>
            <w:tcW w:type="dxa" w:w="2160"/>
            <w:shd w:fill="F0F9FF" w:val="clear"/>
            <w:tcMar>
              <w:top w:w="50" w:type="dxa"/>
              <w:bottom w:w="50" w:type="dxa"/>
              <w:left w:w="100" w:type="dxa"/>
              <w:right w:w="100" w:type="dxa"/>
            </w:tcMar>
          </w:tcPr>
          <w:p>
            <w:pPr>
              <w:jc w:val="left"/>
            </w:pPr>
            <w:r/>
            <w:r>
              <w:rPr>
                <w:rFonts w:ascii="Calibri" w:hAnsi="Calibri"/>
                <w:color w:val="1A1A2E"/>
                <w:sz w:val="20"/>
              </w:rPr>
              <w:t>Full + Custom Integrations</w:t>
            </w:r>
          </w:p>
        </w:tc>
      </w:tr>
      <w:tr>
        <w:tc>
          <w:tcPr>
            <w:tcW w:type="dxa" w:w="2160"/>
            <w:shd w:fill="FFFFFF" w:val="clear"/>
            <w:tcMar>
              <w:top w:w="50" w:type="dxa"/>
              <w:bottom w:w="50" w:type="dxa"/>
              <w:left w:w="100" w:type="dxa"/>
              <w:right w:w="100" w:type="dxa"/>
            </w:tcMar>
          </w:tcPr>
          <w:p>
            <w:pPr>
              <w:jc w:val="left"/>
            </w:pPr>
            <w:r/>
            <w:r>
              <w:rPr>
                <w:rFonts w:ascii="Calibri" w:hAnsi="Calibri"/>
                <w:color w:val="1A1A2E"/>
                <w:sz w:val="20"/>
              </w:rPr>
              <w:t>Support</w:t>
            </w:r>
          </w:p>
        </w:tc>
        <w:tc>
          <w:tcPr>
            <w:tcW w:type="dxa" w:w="1728"/>
            <w:shd w:fill="FFFFFF" w:val="clear"/>
            <w:tcMar>
              <w:top w:w="50" w:type="dxa"/>
              <w:bottom w:w="50" w:type="dxa"/>
              <w:left w:w="100" w:type="dxa"/>
              <w:right w:w="100" w:type="dxa"/>
            </w:tcMar>
          </w:tcPr>
          <w:p>
            <w:pPr>
              <w:jc w:val="left"/>
            </w:pPr>
            <w:r/>
            <w:r>
              <w:rPr>
                <w:rFonts w:ascii="Calibri" w:hAnsi="Calibri"/>
                <w:color w:val="1A1A2E"/>
                <w:sz w:val="20"/>
              </w:rPr>
              <w:t>Community</w:t>
            </w:r>
          </w:p>
        </w:tc>
        <w:tc>
          <w:tcPr>
            <w:tcW w:type="dxa" w:w="1728"/>
            <w:shd w:fill="FFFFFF" w:val="clear"/>
            <w:tcMar>
              <w:top w:w="50" w:type="dxa"/>
              <w:bottom w:w="50" w:type="dxa"/>
              <w:left w:w="100" w:type="dxa"/>
              <w:right w:w="100" w:type="dxa"/>
            </w:tcMar>
          </w:tcPr>
          <w:p>
            <w:pPr>
              <w:jc w:val="left"/>
            </w:pPr>
            <w:r/>
            <w:r>
              <w:rPr>
                <w:rFonts w:ascii="Calibri" w:hAnsi="Calibri"/>
                <w:color w:val="1A1A2E"/>
                <w:sz w:val="20"/>
              </w:rPr>
              <w:t>Email (48h)</w:t>
            </w:r>
          </w:p>
        </w:tc>
        <w:tc>
          <w:tcPr>
            <w:tcW w:type="dxa" w:w="2160"/>
            <w:shd w:fill="FFFFFF" w:val="clear"/>
            <w:tcMar>
              <w:top w:w="50" w:type="dxa"/>
              <w:bottom w:w="50" w:type="dxa"/>
              <w:left w:w="100" w:type="dxa"/>
              <w:right w:w="100" w:type="dxa"/>
            </w:tcMar>
          </w:tcPr>
          <w:p>
            <w:pPr>
              <w:jc w:val="left"/>
            </w:pPr>
            <w:r/>
            <w:r>
              <w:rPr>
                <w:rFonts w:ascii="Calibri" w:hAnsi="Calibri"/>
                <w:color w:val="1A1A2E"/>
                <w:sz w:val="20"/>
              </w:rPr>
              <w:t>Priority (24h)</w:t>
            </w:r>
          </w:p>
        </w:tc>
        <w:tc>
          <w:tcPr>
            <w:tcW w:type="dxa" w:w="2160"/>
            <w:shd w:fill="FFFFFF" w:val="clear"/>
            <w:tcMar>
              <w:top w:w="50" w:type="dxa"/>
              <w:bottom w:w="50" w:type="dxa"/>
              <w:left w:w="100" w:type="dxa"/>
              <w:right w:w="100" w:type="dxa"/>
            </w:tcMar>
          </w:tcPr>
          <w:p>
            <w:pPr>
              <w:jc w:val="left"/>
            </w:pPr>
            <w:r/>
            <w:r>
              <w:rPr>
                <w:rFonts w:ascii="Calibri" w:hAnsi="Calibri"/>
                <w:color w:val="1A1A2E"/>
                <w:sz w:val="20"/>
              </w:rPr>
              <w:t>Dedicated Account Manager</w:t>
            </w:r>
          </w:p>
        </w:tc>
      </w:tr>
      <w:tr>
        <w:tc>
          <w:tcPr>
            <w:tcW w:type="dxa" w:w="2160"/>
            <w:shd w:fill="F0F9FF" w:val="clear"/>
            <w:tcMar>
              <w:top w:w="50" w:type="dxa"/>
              <w:bottom w:w="50" w:type="dxa"/>
              <w:left w:w="100" w:type="dxa"/>
              <w:right w:w="100" w:type="dxa"/>
            </w:tcMar>
          </w:tcPr>
          <w:p>
            <w:pPr>
              <w:jc w:val="left"/>
            </w:pPr>
            <w:r/>
            <w:r>
              <w:rPr>
                <w:rFonts w:ascii="Calibri" w:hAnsi="Calibri"/>
                <w:color w:val="1A1A2E"/>
                <w:sz w:val="20"/>
              </w:rPr>
              <w:t>Data Backup</w:t>
            </w:r>
          </w:p>
        </w:tc>
        <w:tc>
          <w:tcPr>
            <w:tcW w:type="dxa" w:w="1728"/>
            <w:shd w:fill="F0F9FF" w:val="clear"/>
            <w:tcMar>
              <w:top w:w="50" w:type="dxa"/>
              <w:bottom w:w="50" w:type="dxa"/>
              <w:left w:w="100" w:type="dxa"/>
              <w:right w:w="100" w:type="dxa"/>
            </w:tcMar>
          </w:tcPr>
          <w:p>
            <w:pPr>
              <w:jc w:val="left"/>
            </w:pPr>
            <w:r/>
            <w:r>
              <w:rPr>
                <w:rFonts w:ascii="Calibri" w:hAnsi="Calibri"/>
                <w:color w:val="1A1A2E"/>
                <w:sz w:val="20"/>
              </w:rPr>
              <w:t>Manual</w:t>
            </w:r>
          </w:p>
        </w:tc>
        <w:tc>
          <w:tcPr>
            <w:tcW w:type="dxa" w:w="1728"/>
            <w:shd w:fill="F0F9FF" w:val="clear"/>
            <w:tcMar>
              <w:top w:w="50" w:type="dxa"/>
              <w:bottom w:w="50" w:type="dxa"/>
              <w:left w:w="100" w:type="dxa"/>
              <w:right w:w="100" w:type="dxa"/>
            </w:tcMar>
          </w:tcPr>
          <w:p>
            <w:pPr>
              <w:jc w:val="left"/>
            </w:pPr>
            <w:r/>
            <w:r>
              <w:rPr>
                <w:rFonts w:ascii="Calibri" w:hAnsi="Calibri"/>
                <w:color w:val="1A1A2E"/>
                <w:sz w:val="20"/>
              </w:rPr>
              <w:t>Daily</w:t>
            </w:r>
          </w:p>
        </w:tc>
        <w:tc>
          <w:tcPr>
            <w:tcW w:type="dxa" w:w="2160"/>
            <w:shd w:fill="F0F9FF" w:val="clear"/>
            <w:tcMar>
              <w:top w:w="50" w:type="dxa"/>
              <w:bottom w:w="50" w:type="dxa"/>
              <w:left w:w="100" w:type="dxa"/>
              <w:right w:w="100" w:type="dxa"/>
            </w:tcMar>
          </w:tcPr>
          <w:p>
            <w:pPr>
              <w:jc w:val="left"/>
            </w:pPr>
            <w:r/>
            <w:r>
              <w:rPr>
                <w:rFonts w:ascii="Calibri" w:hAnsi="Calibri"/>
                <w:color w:val="1A1A2E"/>
                <w:sz w:val="20"/>
              </w:rPr>
              <w:t>Real-Time</w:t>
            </w:r>
          </w:p>
        </w:tc>
        <w:tc>
          <w:tcPr>
            <w:tcW w:type="dxa" w:w="2160"/>
            <w:shd w:fill="F0F9FF" w:val="clear"/>
            <w:tcMar>
              <w:top w:w="50" w:type="dxa"/>
              <w:bottom w:w="50" w:type="dxa"/>
              <w:left w:w="100" w:type="dxa"/>
              <w:right w:w="100" w:type="dxa"/>
            </w:tcMar>
          </w:tcPr>
          <w:p>
            <w:pPr>
              <w:jc w:val="left"/>
            </w:pPr>
            <w:r/>
            <w:r>
              <w:rPr>
                <w:rFonts w:ascii="Calibri" w:hAnsi="Calibri"/>
                <w:color w:val="1A1A2E"/>
                <w:sz w:val="20"/>
              </w:rPr>
              <w:t>Real-Time + DR</w:t>
            </w:r>
          </w:p>
        </w:tc>
      </w:tr>
      <w:tr>
        <w:tc>
          <w:tcPr>
            <w:tcW w:type="dxa" w:w="2160"/>
            <w:shd w:fill="FFFFFF" w:val="clear"/>
            <w:tcMar>
              <w:top w:w="50" w:type="dxa"/>
              <w:bottom w:w="50" w:type="dxa"/>
              <w:left w:w="100" w:type="dxa"/>
              <w:right w:w="100" w:type="dxa"/>
            </w:tcMar>
          </w:tcPr>
          <w:p>
            <w:pPr>
              <w:jc w:val="left"/>
            </w:pPr>
            <w:r/>
            <w:r>
              <w:rPr>
                <w:rFonts w:ascii="Calibri" w:hAnsi="Calibri"/>
                <w:color w:val="1A1A2E"/>
                <w:sz w:val="20"/>
              </w:rPr>
              <w:t>API Access</w:t>
            </w:r>
          </w:p>
        </w:tc>
        <w:tc>
          <w:tcPr>
            <w:tcW w:type="dxa" w:w="1728"/>
            <w:shd w:fill="FFFFFF" w:val="clear"/>
            <w:tcMar>
              <w:top w:w="50" w:type="dxa"/>
              <w:bottom w:w="50" w:type="dxa"/>
              <w:left w:w="100" w:type="dxa"/>
              <w:right w:w="100" w:type="dxa"/>
            </w:tcMar>
          </w:tcPr>
          <w:p>
            <w:pPr>
              <w:jc w:val="left"/>
            </w:pPr>
            <w:r/>
            <w:r>
              <w:rPr>
                <w:rFonts w:ascii="Calibri" w:hAnsi="Calibri"/>
                <w:color w:val="1A1A2E"/>
                <w:sz w:val="20"/>
              </w:rPr>
              <w:t>—</w:t>
            </w:r>
          </w:p>
        </w:tc>
        <w:tc>
          <w:tcPr>
            <w:tcW w:type="dxa" w:w="1728"/>
            <w:shd w:fill="FFFFFF" w:val="clear"/>
            <w:tcMar>
              <w:top w:w="50" w:type="dxa"/>
              <w:bottom w:w="50" w:type="dxa"/>
              <w:left w:w="100" w:type="dxa"/>
              <w:right w:w="100" w:type="dxa"/>
            </w:tcMar>
          </w:tcPr>
          <w:p>
            <w:pPr>
              <w:jc w:val="left"/>
            </w:pPr>
            <w:r/>
            <w:r>
              <w:rPr>
                <w:rFonts w:ascii="Calibri" w:hAnsi="Calibri"/>
                <w:color w:val="1A1A2E"/>
                <w:sz w:val="20"/>
              </w:rPr>
              <w:t>Read-Only</w:t>
            </w:r>
          </w:p>
        </w:tc>
        <w:tc>
          <w:tcPr>
            <w:tcW w:type="dxa" w:w="2160"/>
            <w:shd w:fill="FFFFFF" w:val="clear"/>
            <w:tcMar>
              <w:top w:w="50" w:type="dxa"/>
              <w:bottom w:w="50" w:type="dxa"/>
              <w:left w:w="100" w:type="dxa"/>
              <w:right w:w="100" w:type="dxa"/>
            </w:tcMar>
          </w:tcPr>
          <w:p>
            <w:pPr>
              <w:jc w:val="left"/>
            </w:pPr>
            <w:r/>
            <w:r>
              <w:rPr>
                <w:rFonts w:ascii="Calibri" w:hAnsi="Calibri"/>
                <w:color w:val="1A1A2E"/>
                <w:sz w:val="20"/>
              </w:rPr>
              <w:t>Full API</w:t>
            </w:r>
          </w:p>
        </w:tc>
        <w:tc>
          <w:tcPr>
            <w:tcW w:type="dxa" w:w="2160"/>
            <w:shd w:fill="FFFFFF" w:val="clear"/>
            <w:tcMar>
              <w:top w:w="50" w:type="dxa"/>
              <w:bottom w:w="50" w:type="dxa"/>
              <w:left w:w="100" w:type="dxa"/>
              <w:right w:w="100" w:type="dxa"/>
            </w:tcMar>
          </w:tcPr>
          <w:p>
            <w:pPr>
              <w:jc w:val="left"/>
            </w:pPr>
            <w:r/>
            <w:r>
              <w:rPr>
                <w:rFonts w:ascii="Calibri" w:hAnsi="Calibri"/>
                <w:color w:val="1A1A2E"/>
                <w:sz w:val="20"/>
              </w:rPr>
              <w:t>Full API + Webhooks</w:t>
            </w:r>
          </w:p>
        </w:tc>
      </w:tr>
      <w:tr>
        <w:tc>
          <w:tcPr>
            <w:tcW w:type="dxa" w:w="2160"/>
            <w:shd w:fill="F0F9FF" w:val="clear"/>
            <w:tcMar>
              <w:top w:w="50" w:type="dxa"/>
              <w:bottom w:w="50" w:type="dxa"/>
              <w:left w:w="100" w:type="dxa"/>
              <w:right w:w="100" w:type="dxa"/>
            </w:tcMar>
          </w:tcPr>
          <w:p>
            <w:pPr>
              <w:jc w:val="left"/>
            </w:pPr>
            <w:r/>
            <w:r>
              <w:rPr>
                <w:rFonts w:ascii="Calibri" w:hAnsi="Calibri"/>
                <w:color w:val="1A1A2E"/>
                <w:sz w:val="20"/>
              </w:rPr>
              <w:t>Pricing</w:t>
            </w:r>
          </w:p>
        </w:tc>
        <w:tc>
          <w:tcPr>
            <w:tcW w:type="dxa" w:w="1728"/>
            <w:shd w:fill="F0F9FF" w:val="clear"/>
            <w:tcMar>
              <w:top w:w="50" w:type="dxa"/>
              <w:bottom w:w="50" w:type="dxa"/>
              <w:left w:w="100" w:type="dxa"/>
              <w:right w:w="100" w:type="dxa"/>
            </w:tcMar>
          </w:tcPr>
          <w:p>
            <w:pPr>
              <w:jc w:val="left"/>
            </w:pPr>
            <w:r/>
            <w:r>
              <w:rPr>
                <w:rFonts w:ascii="Calibri" w:hAnsi="Calibri"/>
                <w:color w:val="1A1A2E"/>
                <w:sz w:val="20"/>
              </w:rPr>
              <w:t>Free</w:t>
            </w:r>
          </w:p>
        </w:tc>
        <w:tc>
          <w:tcPr>
            <w:tcW w:type="dxa" w:w="1728"/>
            <w:shd w:fill="F0F9FF" w:val="clear"/>
            <w:tcMar>
              <w:top w:w="50" w:type="dxa"/>
              <w:bottom w:w="50" w:type="dxa"/>
              <w:left w:w="100" w:type="dxa"/>
              <w:right w:w="100" w:type="dxa"/>
            </w:tcMar>
          </w:tcPr>
          <w:p>
            <w:pPr>
              <w:jc w:val="left"/>
            </w:pPr>
            <w:r/>
            <w:r>
              <w:rPr>
                <w:rFonts w:ascii="Calibri" w:hAnsi="Calibri"/>
                <w:color w:val="1A1A2E"/>
                <w:sz w:val="20"/>
              </w:rPr>
              <w:t>Contact Sales</w:t>
            </w:r>
          </w:p>
        </w:tc>
        <w:tc>
          <w:tcPr>
            <w:tcW w:type="dxa" w:w="2160"/>
            <w:shd w:fill="F0F9FF" w:val="clear"/>
            <w:tcMar>
              <w:top w:w="50" w:type="dxa"/>
              <w:bottom w:w="50" w:type="dxa"/>
              <w:left w:w="100" w:type="dxa"/>
              <w:right w:w="100" w:type="dxa"/>
            </w:tcMar>
          </w:tcPr>
          <w:p>
            <w:pPr>
              <w:jc w:val="left"/>
            </w:pPr>
            <w:r/>
            <w:r>
              <w:rPr>
                <w:rFonts w:ascii="Calibri" w:hAnsi="Calibri"/>
                <w:color w:val="1A1A2E"/>
                <w:sz w:val="20"/>
              </w:rPr>
              <w:t>Contact Sales</w:t>
            </w:r>
          </w:p>
        </w:tc>
        <w:tc>
          <w:tcPr>
            <w:tcW w:type="dxa" w:w="2160"/>
            <w:shd w:fill="F0F9FF" w:val="clear"/>
            <w:tcMar>
              <w:top w:w="50" w:type="dxa"/>
              <w:bottom w:w="50" w:type="dxa"/>
              <w:left w:w="100" w:type="dxa"/>
              <w:right w:w="100" w:type="dxa"/>
            </w:tcMar>
          </w:tcPr>
          <w:p>
            <w:pPr>
              <w:jc w:val="left"/>
            </w:pPr>
            <w:r/>
            <w:r>
              <w:rPr>
                <w:rFonts w:ascii="Calibri" w:hAnsi="Calibri"/>
                <w:color w:val="1A1A2E"/>
                <w:sz w:val="20"/>
              </w:rPr>
              <w:t>Contact Sales</w:t>
            </w:r>
          </w:p>
        </w:tc>
      </w:tr>
    </w:tbl>
    <w:p>
      <w:pPr>
        <w:spacing w:after="80"/>
      </w:pPr>
    </w:p>
    <w:tbl>
      <w:tblPr>
        <w:tblW w:type="auto" w:w="0"/>
        <w:jc w:val="center"/>
        <w:tblLook w:firstColumn="1" w:firstRow="1" w:lastColumn="0" w:lastRow="0" w:noHBand="0" w:noVBand="1" w:val="04A0"/>
      </w:tblPr>
      <w:tblGrid>
        <w:gridCol w:w="9360"/>
      </w:tblGrid>
      <w:tr>
        <w:tc>
          <w:tcPr>
            <w:tcW w:type="dxa" w:w="9360"/>
            <w:shd w:fill="E8F4FD" w:val="clear"/>
            <w:tcMar>
              <w:top w:w="120" w:type="dxa"/>
              <w:bottom w:w="120" w:type="dxa"/>
              <w:left w:w="200" w:type="dxa"/>
              <w:right w:w="200" w:type="dxa"/>
            </w:tcMar>
            <w:tcBorders>
              <w:top w:val="none" w:sz="0" w:space="0"/>
              <w:bottom w:val="none" w:sz="0" w:space="0"/>
              <w:left w:val="none" w:sz="0" w:space="0"/>
              <w:right w:val="none" w:sz="0" w:space="0"/>
            </w:tcBorders>
          </w:tcPr>
          <w:p>
            <w:pPr>
              <w:jc w:val="center"/>
            </w:pPr>
            <w:r/>
            <w:r>
              <w:rPr>
                <w:rFonts w:ascii="Calibri" w:hAnsi="Calibri"/>
                <w:i/>
                <w:color w:val="005B96"/>
                <w:sz w:val="22"/>
              </w:rPr>
              <w:t>All plans include 30-day free trial  •  No setup fees  •  Cancel anytime</w:t>
            </w:r>
          </w:p>
        </w:tc>
      </w:tr>
    </w:tbl>
    <w:p>
      <w:pPr>
        <w:spacing w:after="40"/>
      </w:pPr>
    </w:p>
    <w:p>
      <w:r>
        <w:br w:type="page"/>
      </w:r>
    </w:p>
    <w:p>
      <w:pPr>
        <w:pStyle w:val="Heading1"/>
        <w:spacing w:before="360" w:after="120"/>
        <w:jc w:val="left"/>
      </w:pPr>
      <w:r>
        <w:rPr>
          <w:rFonts w:ascii="Calibri" w:hAnsi="Calibri"/>
          <w:color w:val="005B96"/>
        </w:rPr>
        <w:t>13. Implementation &amp; Support</w:t>
      </w:r>
    </w:p>
    <w:p>
      <w:pPr>
        <w:spacing w:before="80" w:after="80"/>
        <w:pBdr>
          <w:bottom w:val="single" w:sz="6" w:space="1" w:color="0096C7"/>
        </w:pBdr>
      </w:pPr>
    </w:p>
    <w:p>
      <w:pPr>
        <w:pStyle w:val="Heading2"/>
        <w:spacing w:before="200" w:after="120"/>
        <w:jc w:val="left"/>
      </w:pPr>
      <w:r>
        <w:rPr>
          <w:rFonts w:ascii="Calibri" w:hAnsi="Calibri"/>
          <w:color w:val="0096C7"/>
        </w:rPr>
        <w:t>Implementation Methodology</w:t>
      </w:r>
    </w:p>
    <w:p>
      <w:pPr>
        <w:spacing w:after="120"/>
        <w:jc w:val="both"/>
      </w:pPr>
      <w:r>
        <w:rPr>
          <w:rFonts w:ascii="Calibri" w:hAnsi="Calibri"/>
          <w:b w:val="0"/>
          <w:i w:val="0"/>
          <w:color w:val="1A1A2E"/>
          <w:sz w:val="22"/>
        </w:rPr>
        <w:t>Our structured implementation methodology ensures a smooth transition from legacy systems to HospitalOS with minimal disruption to hospital operations.</w:t>
      </w:r>
    </w:p>
    <w:p>
      <w:pPr>
        <w:pStyle w:val="ListBullet"/>
        <w:spacing w:after="60"/>
      </w:pPr>
      <w:r>
        <w:rPr>
          <w:rFonts w:ascii="Calibri" w:hAnsi="Calibri"/>
          <w:b/>
          <w:color w:val="1A1A2E"/>
          <w:sz w:val="21"/>
        </w:rPr>
        <w:t xml:space="preserve">Phase 1 — Discovery &amp; Configuration (Week 1–2): </w:t>
      </w:r>
      <w:r>
        <w:rPr>
          <w:rFonts w:ascii="Calibri" w:hAnsi="Calibri"/>
          <w:color w:val="1A1A2E"/>
          <w:sz w:val="21"/>
        </w:rPr>
        <w:t>Requirements gathering, hospital configuration setup, department/ward/bed setup, user role mapping, and branding customization.</w:t>
      </w:r>
    </w:p>
    <w:p>
      <w:pPr>
        <w:pStyle w:val="ListBullet"/>
        <w:spacing w:after="60"/>
      </w:pPr>
      <w:r>
        <w:rPr>
          <w:rFonts w:ascii="Calibri" w:hAnsi="Calibri"/>
          <w:b/>
          <w:color w:val="1A1A2E"/>
          <w:sz w:val="21"/>
        </w:rPr>
        <w:t xml:space="preserve">Phase 2 — Data Migration (Week 2–3): </w:t>
      </w:r>
      <w:r>
        <w:rPr>
          <w:rFonts w:ascii="Calibri" w:hAnsi="Calibri"/>
          <w:color w:val="1A1A2E"/>
          <w:sz w:val="21"/>
        </w:rPr>
        <w:t>Historical patient data import, medicine inventory migration, doctor/staff onboarding, and financial data migration using template-based bulk import tools.</w:t>
      </w:r>
    </w:p>
    <w:p>
      <w:pPr>
        <w:pStyle w:val="ListBullet"/>
        <w:spacing w:after="60"/>
      </w:pPr>
      <w:r>
        <w:rPr>
          <w:rFonts w:ascii="Calibri" w:hAnsi="Calibri"/>
          <w:b/>
          <w:color w:val="1A1A2E"/>
          <w:sz w:val="21"/>
        </w:rPr>
        <w:t xml:space="preserve">Phase 3 — Training &amp; UAT (Week 3–4): </w:t>
      </w:r>
      <w:r>
        <w:rPr>
          <w:rFonts w:ascii="Calibri" w:hAnsi="Calibri"/>
          <w:color w:val="1A1A2E"/>
          <w:sz w:val="21"/>
        </w:rPr>
        <w:t>Role-based training for all staff (Admin, Doctors, Nurses, Lab, Pharmacy, Reception, Finance), User Acceptance Testing, and workflow validation.</w:t>
      </w:r>
    </w:p>
    <w:p>
      <w:pPr>
        <w:pStyle w:val="ListBullet"/>
        <w:spacing w:after="60"/>
      </w:pPr>
      <w:r>
        <w:rPr>
          <w:rFonts w:ascii="Calibri" w:hAnsi="Calibri"/>
          <w:b/>
          <w:color w:val="1A1A2E"/>
          <w:sz w:val="21"/>
        </w:rPr>
        <w:t xml:space="preserve">Phase 4 — Go-Live &amp; Stabilization (Week 4–5): </w:t>
      </w:r>
      <w:r>
        <w:rPr>
          <w:rFonts w:ascii="Calibri" w:hAnsi="Calibri"/>
          <w:color w:val="1A1A2E"/>
          <w:sz w:val="21"/>
        </w:rPr>
        <w:t>Phased module go-live, parallel running with legacy systems, performance monitoring, and issue resolution.</w:t>
      </w:r>
    </w:p>
    <w:p>
      <w:pPr>
        <w:pStyle w:val="ListBullet"/>
        <w:spacing w:after="60"/>
      </w:pPr>
      <w:r>
        <w:rPr>
          <w:rFonts w:ascii="Calibri" w:hAnsi="Calibri"/>
          <w:b/>
          <w:color w:val="1A1A2E"/>
          <w:sz w:val="21"/>
        </w:rPr>
        <w:t xml:space="preserve">Phase 5 — Optimization (Week 5–8): </w:t>
      </w:r>
      <w:r>
        <w:rPr>
          <w:rFonts w:ascii="Calibri" w:hAnsi="Calibri"/>
          <w:color w:val="1A1A2E"/>
          <w:sz w:val="21"/>
        </w:rPr>
        <w:t>Workflow optimization based on real-world usage, report customization, integration fine-tuning, and advanced feature activation.</w:t>
      </w:r>
    </w:p>
    <w:p>
      <w:pPr>
        <w:pStyle w:val="Heading2"/>
        <w:spacing w:before="200" w:after="120"/>
        <w:jc w:val="left"/>
      </w:pPr>
      <w:r>
        <w:rPr>
          <w:rFonts w:ascii="Calibri" w:hAnsi="Calibri"/>
          <w:color w:val="0096C7"/>
        </w:rPr>
        <w:t>Ongoing Support</w:t>
      </w:r>
    </w:p>
    <w:p>
      <w:pPr>
        <w:pStyle w:val="ListBullet"/>
        <w:spacing w:after="60"/>
      </w:pPr>
      <w:r>
        <w:rPr>
          <w:rFonts w:ascii="Calibri" w:hAnsi="Calibri"/>
          <w:b/>
          <w:color w:val="1A1A2E"/>
          <w:sz w:val="21"/>
        </w:rPr>
        <w:t xml:space="preserve">24/7 System Monitoring: </w:t>
      </w:r>
      <w:r>
        <w:rPr>
          <w:rFonts w:ascii="Calibri" w:hAnsi="Calibri"/>
          <w:color w:val="1A1A2E"/>
          <w:sz w:val="21"/>
        </w:rPr>
        <w:t>Proactive infrastructure monitoring with automated alerting and incident response.</w:t>
      </w:r>
    </w:p>
    <w:p>
      <w:pPr>
        <w:pStyle w:val="ListBullet"/>
        <w:spacing w:after="60"/>
      </w:pPr>
      <w:r>
        <w:rPr>
          <w:rFonts w:ascii="Calibri" w:hAnsi="Calibri"/>
          <w:b/>
          <w:color w:val="1A1A2E"/>
          <w:sz w:val="21"/>
        </w:rPr>
        <w:t xml:space="preserve">Dedicated Support Portal: </w:t>
      </w:r>
      <w:r>
        <w:rPr>
          <w:rFonts w:ascii="Calibri" w:hAnsi="Calibri"/>
          <w:color w:val="1A1A2E"/>
          <w:sz w:val="21"/>
        </w:rPr>
        <w:t>Ticketing system with SLA-based response times based on subscription tier.</w:t>
      </w:r>
    </w:p>
    <w:p>
      <w:pPr>
        <w:pStyle w:val="ListBullet"/>
        <w:spacing w:after="60"/>
      </w:pPr>
      <w:r>
        <w:rPr>
          <w:rFonts w:ascii="Calibri" w:hAnsi="Calibri"/>
          <w:b/>
          <w:color w:val="1A1A2E"/>
          <w:sz w:val="21"/>
        </w:rPr>
        <w:t xml:space="preserve">Regular Updates: </w:t>
      </w:r>
      <w:r>
        <w:rPr>
          <w:rFonts w:ascii="Calibri" w:hAnsi="Calibri"/>
          <w:color w:val="1A1A2E"/>
          <w:sz w:val="21"/>
        </w:rPr>
        <w:t>Quarterly feature releases, monthly security patches, and continuous performance optimization.</w:t>
      </w:r>
    </w:p>
    <w:p>
      <w:pPr>
        <w:pStyle w:val="ListBullet"/>
        <w:spacing w:after="60"/>
      </w:pPr>
      <w:r>
        <w:rPr>
          <w:rFonts w:ascii="Calibri" w:hAnsi="Calibri"/>
          <w:b/>
          <w:color w:val="1A1A2E"/>
          <w:sz w:val="21"/>
        </w:rPr>
        <w:t xml:space="preserve">Knowledge Base: </w:t>
      </w:r>
      <w:r>
        <w:rPr>
          <w:rFonts w:ascii="Calibri" w:hAnsi="Calibri"/>
          <w:color w:val="1A1A2E"/>
          <w:sz w:val="21"/>
        </w:rPr>
        <w:t>Comprehensive documentation, video tutorials, and best practice guides for all roles.</w:t>
      </w:r>
    </w:p>
    <w:p>
      <w:pPr>
        <w:pStyle w:val="ListBullet"/>
        <w:spacing w:after="60"/>
      </w:pPr>
      <w:r>
        <w:rPr>
          <w:rFonts w:ascii="Calibri" w:hAnsi="Calibri"/>
          <w:b/>
          <w:color w:val="1A1A2E"/>
          <w:sz w:val="21"/>
        </w:rPr>
        <w:t xml:space="preserve">API Documentation: </w:t>
      </w:r>
      <w:r>
        <w:rPr>
          <w:rFonts w:ascii="Calibri" w:hAnsi="Calibri"/>
          <w:color w:val="1A1A2E"/>
          <w:sz w:val="21"/>
        </w:rPr>
        <w:t>Built-in OpenAPI/Swagger documentation accessible at /admin/api-docs for integration partners.</w:t>
      </w:r>
    </w:p>
    <w:p>
      <w:r>
        <w:br w:type="page"/>
      </w:r>
    </w:p>
    <w:p>
      <w:pPr>
        <w:pStyle w:val="Heading1"/>
        <w:spacing w:before="360" w:after="120"/>
        <w:jc w:val="left"/>
      </w:pPr>
      <w:r>
        <w:rPr>
          <w:rFonts w:ascii="Calibri" w:hAnsi="Calibri"/>
          <w:color w:val="005B96"/>
        </w:rPr>
        <w:t>14. Why Choose HospitalOS?</w:t>
      </w:r>
    </w:p>
    <w:p>
      <w:pPr>
        <w:spacing w:before="80" w:after="80"/>
        <w:pBdr>
          <w:bottom w:val="single" w:sz="6" w:space="1" w:color="0096C7"/>
        </w:pBdr>
      </w:pPr>
    </w:p>
    <w:p>
      <w:pPr>
        <w:spacing w:after="120"/>
        <w:jc w:val="both"/>
      </w:pPr>
      <w:r>
        <w:rPr>
          <w:rFonts w:ascii="Calibri" w:hAnsi="Calibri"/>
          <w:b w:val="0"/>
          <w:i w:val="0"/>
          <w:color w:val="1A1A2E"/>
          <w:sz w:val="22"/>
        </w:rPr>
        <w:t>In a market crowded with fragmented healthcare IT solutions, HospitalOS stands apart as a unified, intelligent, and future-ready platform. Here is why leading hospitals choose HospitalOS as their digital backbone:</w:t>
      </w:r>
    </w:p>
    <w:p>
      <w:pPr>
        <w:pStyle w:val="ListBullet"/>
        <w:spacing w:after="60"/>
      </w:pPr>
      <w:r>
        <w:rPr>
          <w:rFonts w:ascii="Calibri" w:hAnsi="Calibri"/>
          <w:b/>
          <w:color w:val="1A1A2E"/>
          <w:sz w:val="21"/>
        </w:rPr>
        <w:t xml:space="preserve">One Platform, Zero Fragmentation: </w:t>
      </w:r>
      <w:r>
        <w:rPr>
          <w:rFonts w:ascii="Calibri" w:hAnsi="Calibri"/>
          <w:color w:val="1A1A2E"/>
          <w:sz w:val="21"/>
        </w:rPr>
        <w:t>Replace 5–10 disconnected systems with a single, integrated platform that covers registration, clinical care, laboratory, pharmacy, billing, insurance, HR, and patient engagement.</w:t>
      </w:r>
    </w:p>
    <w:p>
      <w:pPr>
        <w:pStyle w:val="ListBullet"/>
        <w:spacing w:after="60"/>
      </w:pPr>
      <w:r>
        <w:rPr>
          <w:rFonts w:ascii="Calibri" w:hAnsi="Calibri"/>
          <w:b/>
          <w:color w:val="1A1A2E"/>
          <w:sz w:val="21"/>
        </w:rPr>
        <w:t xml:space="preserve">AI-First Approach: </w:t>
      </w:r>
      <w:r>
        <w:rPr>
          <w:rFonts w:ascii="Calibri" w:hAnsi="Calibri"/>
          <w:color w:val="1A1A2E"/>
          <w:sz w:val="21"/>
        </w:rPr>
        <w:t>Built-in artificial intelligence enhances every workflow — from triage and lab interpretation to health assessments — without requiring separate AI product purchases or integrations.</w:t>
      </w:r>
    </w:p>
    <w:p>
      <w:pPr>
        <w:pStyle w:val="ListBullet"/>
        <w:spacing w:after="60"/>
      </w:pPr>
      <w:r>
        <w:rPr>
          <w:rFonts w:ascii="Calibri" w:hAnsi="Calibri"/>
          <w:b/>
          <w:color w:val="1A1A2E"/>
          <w:sz w:val="21"/>
        </w:rPr>
        <w:t xml:space="preserve">Patient-Centric Design: </w:t>
      </w:r>
      <w:r>
        <w:rPr>
          <w:rFonts w:ascii="Calibri" w:hAnsi="Calibri"/>
          <w:color w:val="1A1A2E"/>
          <w:sz w:val="21"/>
        </w:rPr>
        <w:t>The dedicated Patient Portal transforms patient engagement with self-service appointment booking, lab result access, online payments, and health tracking.</w:t>
      </w:r>
    </w:p>
    <w:p>
      <w:pPr>
        <w:pStyle w:val="ListBullet"/>
        <w:spacing w:after="60"/>
      </w:pPr>
      <w:r>
        <w:rPr>
          <w:rFonts w:ascii="Calibri" w:hAnsi="Calibri"/>
          <w:b/>
          <w:color w:val="1A1A2E"/>
          <w:sz w:val="21"/>
        </w:rPr>
        <w:t xml:space="preserve">Rapid Deployment: </w:t>
      </w:r>
      <w:r>
        <w:rPr>
          <w:rFonts w:ascii="Calibri" w:hAnsi="Calibri"/>
          <w:color w:val="1A1A2E"/>
          <w:sz w:val="21"/>
        </w:rPr>
        <w:t>Go live in 4–6 weeks with our structured implementation methodology, compared to 6–12 months for traditional HMS platforms.</w:t>
      </w:r>
    </w:p>
    <w:p>
      <w:pPr>
        <w:pStyle w:val="ListBullet"/>
        <w:spacing w:after="60"/>
      </w:pPr>
      <w:r>
        <w:rPr>
          <w:rFonts w:ascii="Calibri" w:hAnsi="Calibri"/>
          <w:b/>
          <w:color w:val="1A1A2E"/>
          <w:sz w:val="21"/>
        </w:rPr>
        <w:t xml:space="preserve">Future-Proof Architecture: </w:t>
      </w:r>
      <w:r>
        <w:rPr>
          <w:rFonts w:ascii="Calibri" w:hAnsi="Calibri"/>
          <w:color w:val="1A1A2E"/>
          <w:sz w:val="21"/>
        </w:rPr>
        <w:t>Built on Next.js 15, React 19, and PostgreSQL — modern technologies with strong community support and a long-term roadmap.</w:t>
      </w:r>
    </w:p>
    <w:p>
      <w:pPr>
        <w:pStyle w:val="ListBullet"/>
        <w:spacing w:after="60"/>
      </w:pPr>
      <w:r>
        <w:rPr>
          <w:rFonts w:ascii="Calibri" w:hAnsi="Calibri"/>
          <w:b/>
          <w:color w:val="1A1A2E"/>
          <w:sz w:val="21"/>
        </w:rPr>
        <w:t xml:space="preserve">True Multi-Tenancy: </w:t>
      </w:r>
      <w:r>
        <w:rPr>
          <w:rFonts w:ascii="Calibri" w:hAnsi="Calibri"/>
          <w:color w:val="1A1A2E"/>
          <w:sz w:val="21"/>
        </w:rPr>
        <w:t>Scale from a single clinic to a national hospital chain on the same platform with complete data isolation and branch-level configuration.</w:t>
      </w:r>
    </w:p>
    <w:p>
      <w:pPr>
        <w:pStyle w:val="ListBullet"/>
        <w:spacing w:after="60"/>
      </w:pPr>
      <w:r>
        <w:rPr>
          <w:rFonts w:ascii="Calibri" w:hAnsi="Calibri"/>
          <w:b/>
          <w:color w:val="1A1A2E"/>
          <w:sz w:val="21"/>
        </w:rPr>
        <w:t xml:space="preserve">Cost-Effective: </w:t>
      </w:r>
      <w:r>
        <w:rPr>
          <w:rFonts w:ascii="Calibri" w:hAnsi="Calibri"/>
          <w:color w:val="1A1A2E"/>
          <w:sz w:val="21"/>
        </w:rPr>
        <w:t>SaaS pricing eliminates upfront capital expenditure. Pay only for what you use with transparent, scalable pricing tiers.</w:t>
      </w:r>
    </w:p>
    <w:p>
      <w:pPr>
        <w:pStyle w:val="ListBullet"/>
        <w:spacing w:after="60"/>
      </w:pPr>
      <w:r>
        <w:rPr>
          <w:rFonts w:ascii="Calibri" w:hAnsi="Calibri"/>
          <w:b/>
          <w:color w:val="1A1A2E"/>
          <w:sz w:val="21"/>
        </w:rPr>
        <w:t xml:space="preserve">Compliance Ready: </w:t>
      </w:r>
      <w:r>
        <w:rPr>
          <w:rFonts w:ascii="Calibri" w:hAnsi="Calibri"/>
          <w:color w:val="1A1A2E"/>
          <w:sz w:val="21"/>
        </w:rPr>
        <w:t>NABH, NABL, JCI accreditation support with audit trails, consent management, and regulatory reporting built into every module.</w:t>
      </w:r>
    </w:p>
    <w:p>
      <w:pPr>
        <w:pStyle w:val="ListBullet"/>
        <w:spacing w:after="60"/>
      </w:pPr>
      <w:r>
        <w:rPr>
          <w:rFonts w:ascii="Calibri" w:hAnsi="Calibri"/>
          <w:b/>
          <w:color w:val="1A1A2E"/>
          <w:sz w:val="21"/>
        </w:rPr>
        <w:t xml:space="preserve">Open Integration: </w:t>
      </w:r>
      <w:r>
        <w:rPr>
          <w:rFonts w:ascii="Calibri" w:hAnsi="Calibri"/>
          <w:color w:val="1A1A2E"/>
          <w:sz w:val="21"/>
        </w:rPr>
        <w:t>RESTful APIs and built-in integrations with Razorpay (payments) and Zealthix (insurance) with extensibility for custom integrations.</w:t>
      </w:r>
    </w:p>
    <w:p>
      <w:pPr>
        <w:pStyle w:val="ListBullet"/>
        <w:spacing w:after="60"/>
      </w:pPr>
      <w:r>
        <w:rPr>
          <w:rFonts w:ascii="Calibri" w:hAnsi="Calibri"/>
          <w:b/>
          <w:color w:val="1A1A2E"/>
          <w:sz w:val="21"/>
        </w:rPr>
        <w:t xml:space="preserve">Indian Healthcare Focus: </w:t>
      </w:r>
      <w:r>
        <w:rPr>
          <w:rFonts w:ascii="Calibri" w:hAnsi="Calibri"/>
          <w:color w:val="1A1A2E"/>
          <w:sz w:val="21"/>
        </w:rPr>
        <w:t>Designed for Indian healthcare requirements including Aadhaar integration, GST compliance, INR billing, and Indian insurance/TPA workflows.</w:t>
      </w:r>
    </w:p>
    <w:p>
      <w:pPr>
        <w:spacing w:after="400"/>
      </w:pPr>
    </w:p>
    <w:p>
      <w:pPr>
        <w:spacing w:before="80" w:after="80"/>
        <w:pBdr>
          <w:bottom w:val="single" w:sz="6" w:space="1" w:color="0096C7"/>
        </w:pBdr>
      </w:pPr>
    </w:p>
    <w:p>
      <w:pPr>
        <w:spacing w:before="400"/>
        <w:jc w:val="center"/>
      </w:pPr>
      <w:r>
        <w:rPr>
          <w:rFonts w:ascii="Calibri" w:hAnsi="Calibri"/>
          <w:b/>
          <w:color w:val="005B96"/>
          <w:sz w:val="44"/>
        </w:rPr>
        <w:t>Ready to Transform Your Hospital?</w:t>
      </w:r>
    </w:p>
    <w:p>
      <w:pPr>
        <w:jc w:val="center"/>
      </w:pPr>
      <w:r>
        <w:rPr>
          <w:rFonts w:ascii="Calibri" w:hAnsi="Calibri"/>
          <w:color w:val="555555"/>
          <w:sz w:val="24"/>
        </w:rPr>
        <w:t>Contact our team for a personalized demonstration and discover how</w:t>
        <w:br/>
        <w:t>HospitalOS can revolutionize your hospital operations.</w:t>
      </w:r>
    </w:p>
    <w:p>
      <w:pPr>
        <w:spacing w:before="280"/>
        <w:jc w:val="center"/>
      </w:pPr>
      <w:r>
        <w:rPr>
          <w:rFonts w:ascii="Calibri" w:hAnsi="Calibri"/>
          <w:b/>
          <w:color w:val="005B96"/>
          <w:sz w:val="28"/>
        </w:rPr>
        <w:t>Avani Enterprise Solutions</w:t>
      </w:r>
    </w:p>
    <w:p>
      <w:pPr>
        <w:jc w:val="center"/>
      </w:pPr>
      <w:r>
        <w:rPr>
          <w:rFonts w:ascii="Calibri" w:hAnsi="Calibri"/>
          <w:i/>
          <w:color w:val="999999"/>
          <w:sz w:val="18"/>
        </w:rPr>
        <w:t>© 2026 Avani Enterprise Solutions. All Rights Reserved.</w:t>
        <w:br/>
        <w:t>This document is confidential and intended for authorized recipients only.</w:t>
      </w:r>
    </w:p>
    <w:sectPr w:rsidR="00FC693F" w:rsidRPr="0006063C" w:rsidSect="00034616">
      <w:pgSz w:w="12240" w:h="15840"/>
      <w:pgMar w:top="115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