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color w:val="1F3864"/>
          <w:sz w:val="56"/>
          <w:szCs w:val="56"/>
        </w:rPr>
        <w:t xml:space="preserve">MIS Reports Module</w:t>
      </w:r>
    </w:p>
    <w:p>
      <w:pPr>
        <w:spacing w:after="480"/>
        <w:jc w:val="center"/>
      </w:pPr>
      <w:r>
        <w:rPr>
          <w:color w:val="595959"/>
          <w:sz w:val="28"/>
          <w:szCs w:val="28"/>
        </w:rPr>
        <w:t xml:space="preserve">Product Requirements Document — HospitalOS Admin Panel</w:t>
      </w:r>
    </w:p>
    <w:p>
      <w:pPr>
        <w:pBdr>
          <w:bottom w:val="single" w:color="1F3864" w:sz="6" w:space="1"/>
        </w:pBdr>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rPr>
          <w:tblHeader w:val="false"/>
        </w:trPr>
        <w:tc>
          <w:tcPr>
            <w:tcW w:type="dxa" w:w="2808"/>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Document version</w:t>
            </w:r>
          </w:p>
        </w:tc>
        <w:tc>
          <w:tcPr>
            <w:tcW w:type="dxa" w:w="6552"/>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v1.0 (Draft for team kickoff)</w:t>
            </w:r>
          </w:p>
        </w:tc>
      </w:tr>
      <w:tr>
        <w:trPr>
          <w:tblHeader w:val="false"/>
        </w:trPr>
        <w:tc>
          <w:tcPr>
            <w:tcW w:type="dxa" w:w="2808"/>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Date</w:t>
            </w:r>
          </w:p>
        </w:tc>
        <w:tc>
          <w:tcPr>
            <w:tcW w:type="dxa" w:w="6552"/>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June 11, 2026</w:t>
            </w:r>
          </w:p>
        </w:tc>
      </w:tr>
      <w:tr>
        <w:trPr>
          <w:tblHeader w:val="false"/>
        </w:trPr>
        <w:tc>
          <w:tcPr>
            <w:tcW w:type="dxa" w:w="2808"/>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Author</w:t>
            </w:r>
          </w:p>
        </w:tc>
        <w:tc>
          <w:tcPr>
            <w:tcW w:type="dxa" w:w="6552"/>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Parikshit Kaushal (Team Lead — Agentic AI &amp; Web Development)</w:t>
            </w:r>
          </w:p>
        </w:tc>
      </w:tr>
      <w:tr>
        <w:trPr>
          <w:tblHeader w:val="false"/>
        </w:trPr>
        <w:tc>
          <w:tcPr>
            <w:tcW w:type="dxa" w:w="2808"/>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Audience</w:t>
            </w:r>
          </w:p>
        </w:tc>
        <w:tc>
          <w:tcPr>
            <w:tcW w:type="dxa" w:w="6552"/>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MIS/Reporting engineering team, module owners (Billing, Pharmacy, IPD, Inventory, HR), QA</w:t>
            </w:r>
          </w:p>
        </w:tc>
      </w:tr>
      <w:tr>
        <w:trPr>
          <w:tblHeader w:val="false"/>
        </w:trPr>
        <w:tc>
          <w:tcPr>
            <w:tcW w:type="dxa" w:w="2808"/>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Status</w:t>
            </w:r>
          </w:p>
        </w:tc>
        <w:tc>
          <w:tcPr>
            <w:tcW w:type="dxa" w:w="6552"/>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Ready for review</w:t>
            </w:r>
          </w:p>
        </w:tc>
      </w:tr>
      <w:tr>
        <w:trPr>
          <w:tblHeader w:val="false"/>
        </w:trPr>
        <w:tc>
          <w:tcPr>
            <w:tcW w:type="dxa" w:w="2808"/>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Source of scope</w:t>
            </w:r>
          </w:p>
        </w:tc>
        <w:tc>
          <w:tcPr>
            <w:tcW w:type="dxa" w:w="6552"/>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Client requirement workbook “L1-Solution-Engineering-v1.xlsx”, sheet MIS-Report-List (112 reports marked Customer Required = Yes)</w:t>
            </w:r>
          </w:p>
        </w:tc>
      </w:tr>
      <w:tr>
        <w:trPr>
          <w:tblHeader w:val="false"/>
        </w:trPr>
        <w:tc>
          <w:tcPr>
            <w:tcW w:type="dxa" w:w="2808"/>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Related documents</w:t>
            </w:r>
          </w:p>
        </w:tc>
        <w:tc>
          <w:tcPr>
            <w:tcW w:type="dxa" w:w="6552"/>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Inventory &amp; Materials Management PRD v1.0, HR &amp; Payroll PRD v1.0, FINANCE_PLAN.md</w:t>
            </w:r>
          </w:p>
        </w:tc>
      </w:tr>
    </w:tbl>
    <w:p>
      <w:pPr>
        <w:spacing w:after="120"/>
      </w:pPr>
    </w:p>
    <w:p>
      <w:r>
        <w:br w:type="page"/>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Executive Summary</w:t>
      </w:r>
    </w:p>
    <w:p>
      <w:pPr>
        <w:spacing w:after="120"/>
      </w:pPr>
      <w:r>
        <w:t xml:space="preserve">Hospital leadership, finance, and department heads need operational and management reports (MIS) covering registrations, appointments, billing and collections, diagnostics, pharmacy, admissions and beds, OT, inventory, and revenue. Today HospitalOS has scattered report pages inside individual modules (e.g., pharmacy reports, financial reports under app/api/reports/*) but no unified reporting capability: no single catalogue, no consistent filters, no export discipline, no scheduling, and no access control story for who may see what.</w:t>
      </w:r>
    </w:p>
    <w:p>
      <w:pPr>
        <w:spacing w:after="120"/>
      </w:pPr>
      <w:r>
        <w:t xml:space="preserve">This PRD specifies an </w:t>
      </w:r>
      <w:r>
        <w:rPr>
          <w:b/>
          <w:bCs/>
        </w:rPr>
        <w:t xml:space="preserve">MIS Reports module inside the Admin panel</w:t>
      </w:r>
      <w:r>
        <w:t xml:space="preserve"> (</w:t>
      </w:r>
      <w:r>
        <w:rPr>
          <w:rFonts w:ascii="Consolas" w:cs="Consolas" w:eastAsia="Consolas" w:hAnsi="Consolas"/>
          <w:sz w:val="19"/>
          <w:szCs w:val="19"/>
        </w:rPr>
        <w:t xml:space="preserve">app/admin/mis-reports</w:t>
      </w:r>
      <w:r>
        <w:t xml:space="preserve">): a catalogue of reports organized by category where the admin picks a report, sets filters (date range, branch, department, doctor, payer, store, etc.), generates it on screen, and exports it to xlsx or PDF. Large reports run as background jobs with notification on completion; any report can be scheduled for automatic email/WhatsApp delivery. The scope of the catalogue is the 112 customer-required reports in the client requirement workbook, mapped report-by-report to existing HospitalOS data models in the appendix.</w:t>
      </w:r>
    </w:p>
    <w:p>
      <w:pPr>
        <w:spacing w:after="120"/>
      </w:pPr>
      <w:r>
        <w:rPr>
          <w:b/>
          <w:bCs/>
        </w:rPr>
        <w:t xml:space="preserve">Architecture in one line:</w:t>
      </w:r>
      <w:r>
        <w:t xml:space="preserve"> a code-defined report registry — each report is a typed definition (id, category, Zod filter schema, column spec, query function) — rendered by one generic report runner UI, one export engine, one scheduler, and one permission layer. Adding report #113 means adding one definition file, not building a new page.</w:t>
      </w:r>
    </w:p>
    <w:p>
      <w:pPr>
        <w:pStyle w:val="Heading1"/>
      </w:pPr>
      <w:r>
        <w:t xml:space="preserve">2. Current State Analysis</w:t>
      </w:r>
    </w:p>
    <w:p>
      <w:pPr>
        <w:pStyle w:val="Heading2"/>
      </w:pPr>
      <w:r>
        <w:t xml:space="preserve">2.1 What exists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82"/>
        <w:gridCol w:w="6178"/>
      </w:tblGrid>
      <w:tr>
        <w:trPr>
          <w:tblHeader/>
        </w:trPr>
        <w:tc>
          <w:tcPr>
            <w:tcW w:type="dxa" w:w="3182"/>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0"/>
                <w:szCs w:val="20"/>
              </w:rPr>
              <w:t xml:space="preserve">Area</w:t>
            </w:r>
          </w:p>
        </w:tc>
        <w:tc>
          <w:tcPr>
            <w:tcW w:type="dxa" w:w="6178"/>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0"/>
                <w:szCs w:val="20"/>
              </w:rPr>
              <w:t xml:space="preserve">Existing implementation</w:t>
            </w:r>
          </w:p>
        </w:tc>
      </w:tr>
      <w:tr>
        <w:trPr>
          <w:tblHeader w:val="false"/>
        </w:trPr>
        <w:tc>
          <w:tcPr>
            <w:tcW w:type="dxa" w:w="3182"/>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Module-local reports</w:t>
            </w:r>
          </w:p>
        </w:tc>
        <w:tc>
          <w:tcPr>
            <w:tcW w:type="dxa" w:w="6178"/>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Consolas" w:cs="Consolas" w:eastAsia="Consolas" w:hAnsi="Consolas"/>
                <w:sz w:val="19"/>
                <w:szCs w:val="19"/>
              </w:rPr>
              <w:t xml:space="preserve">app/pharmacy/reports</w:t>
            </w:r>
            <w:r>
              <w:rPr>
                <w:sz w:val="20"/>
                <w:szCs w:val="20"/>
              </w:rPr>
              <w:t xml:space="preserve">, </w:t>
            </w:r>
            <w:r>
              <w:rPr>
                <w:rFonts w:ascii="Consolas" w:cs="Consolas" w:eastAsia="Consolas" w:hAnsi="Consolas"/>
                <w:sz w:val="19"/>
                <w:szCs w:val="19"/>
              </w:rPr>
              <w:t xml:space="preserve">app/admin/pharmacy/reports</w:t>
            </w:r>
            <w:r>
              <w:rPr>
                <w:sz w:val="20"/>
                <w:szCs w:val="20"/>
              </w:rPr>
              <w:t xml:space="preserve">, </w:t>
            </w:r>
            <w:r>
              <w:rPr>
                <w:rFonts w:ascii="Consolas" w:cs="Consolas" w:eastAsia="Consolas" w:hAnsi="Consolas"/>
                <w:sz w:val="19"/>
                <w:szCs w:val="19"/>
              </w:rPr>
              <w:t xml:space="preserve">app/api/reports/financial</w:t>
            </w:r>
            <w:r>
              <w:rPr>
                <w:sz w:val="20"/>
                <w:szCs w:val="20"/>
              </w:rPr>
              <w:t xml:space="preserve">, </w:t>
            </w:r>
            <w:r>
              <w:rPr>
                <w:rFonts w:ascii="Consolas" w:cs="Consolas" w:eastAsia="Consolas" w:hAnsi="Consolas"/>
                <w:sz w:val="19"/>
                <w:szCs w:val="19"/>
              </w:rPr>
              <w:t xml:space="preserve">app/api/reports/lab</w:t>
            </w:r>
            <w:r>
              <w:rPr>
                <w:sz w:val="20"/>
                <w:szCs w:val="20"/>
              </w:rPr>
              <w:t xml:space="preserve">, </w:t>
            </w:r>
            <w:r>
              <w:rPr>
                <w:rFonts w:ascii="Consolas" w:cs="Consolas" w:eastAsia="Consolas" w:hAnsi="Consolas"/>
                <w:sz w:val="19"/>
                <w:szCs w:val="19"/>
              </w:rPr>
              <w:t xml:space="preserve">app/api/reports/prescription</w:t>
            </w:r>
            <w:r>
              <w:rPr>
                <w:sz w:val="20"/>
                <w:szCs w:val="20"/>
              </w:rPr>
              <w:t xml:space="preserve"> — each hand-built, inconsistent filters and exports</w:t>
            </w:r>
          </w:p>
        </w:tc>
      </w:tr>
      <w:tr>
        <w:trPr>
          <w:tblHeader w:val="false"/>
        </w:trPr>
        <w:tc>
          <w:tcPr>
            <w:tcW w:type="dxa" w:w="3182"/>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Finance statements</w:t>
            </w:r>
          </w:p>
        </w:tc>
        <w:tc>
          <w:tcPr>
            <w:tcW w:type="dxa" w:w="6178"/>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Trial balance, P&amp;L, balance sheet, ledger via </w:t>
            </w:r>
            <w:r>
              <w:rPr>
                <w:rFonts w:ascii="Consolas" w:cs="Consolas" w:eastAsia="Consolas" w:hAnsi="Consolas"/>
                <w:sz w:val="19"/>
                <w:szCs w:val="19"/>
              </w:rPr>
              <w:t xml:space="preserve">gl-actions.ts</w:t>
            </w:r>
            <w:r>
              <w:rPr>
                <w:sz w:val="20"/>
                <w:szCs w:val="20"/>
              </w:rPr>
              <w:t xml:space="preserve"> (</w:t>
            </w:r>
            <w:r>
              <w:rPr>
                <w:rFonts w:ascii="Consolas" w:cs="Consolas" w:eastAsia="Consolas" w:hAnsi="Consolas"/>
                <w:sz w:val="19"/>
                <w:szCs w:val="19"/>
              </w:rPr>
              <w:t xml:space="preserve">getTrialBalance</w:t>
            </w:r>
            <w:r>
              <w:rPr>
                <w:sz w:val="20"/>
                <w:szCs w:val="20"/>
              </w:rPr>
              <w:t xml:space="preserve">, </w:t>
            </w:r>
            <w:r>
              <w:rPr>
                <w:rFonts w:ascii="Consolas" w:cs="Consolas" w:eastAsia="Consolas" w:hAnsi="Consolas"/>
                <w:sz w:val="19"/>
                <w:szCs w:val="19"/>
              </w:rPr>
              <w:t xml:space="preserve">getProfitLossStatement</w:t>
            </w:r>
            <w:r>
              <w:rPr>
                <w:sz w:val="20"/>
                <w:szCs w:val="20"/>
              </w:rPr>
              <w:t xml:space="preserve">, </w:t>
            </w:r>
            <w:r>
              <w:rPr>
                <w:rFonts w:ascii="Consolas" w:cs="Consolas" w:eastAsia="Consolas" w:hAnsi="Consolas"/>
                <w:sz w:val="19"/>
                <w:szCs w:val="19"/>
              </w:rPr>
              <w:t xml:space="preserve">getLedgerReport</w:t>
            </w:r>
            <w:r>
              <w:rPr>
                <w:sz w:val="20"/>
                <w:szCs w:val="20"/>
              </w:rPr>
              <w:t xml:space="preserve">) — these remain in the Finance module; MIS links to them, does not duplicate them</w:t>
            </w:r>
          </w:p>
        </w:tc>
      </w:tr>
      <w:tr>
        <w:trPr>
          <w:tblHeader w:val="false"/>
        </w:trPr>
        <w:tc>
          <w:tcPr>
            <w:tcW w:type="dxa" w:w="3182"/>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Export tooling</w:t>
            </w:r>
          </w:p>
        </w:tc>
        <w:tc>
          <w:tcPr>
            <w:tcW w:type="dxa" w:w="6178"/>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xlsx 0.18.5 for Excel export, @react-pdf/renderer + puppeteer-core for PDF, Chart.js for dashboards</w:t>
            </w:r>
          </w:p>
        </w:tc>
      </w:tr>
      <w:tr>
        <w:trPr>
          <w:tblHeader w:val="false"/>
        </w:trPr>
        <w:tc>
          <w:tcPr>
            <w:tcW w:type="dxa" w:w="3182"/>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Async &amp; delivery rails</w:t>
            </w:r>
          </w:p>
        </w:tc>
        <w:tc>
          <w:tcPr>
            <w:tcW w:type="dxa" w:w="6178"/>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Consolas" w:cs="Consolas" w:eastAsia="Consolas" w:hAnsi="Consolas"/>
                <w:sz w:val="19"/>
                <w:szCs w:val="19"/>
              </w:rPr>
              <w:t xml:space="preserve">DataImportJob</w:t>
            </w:r>
            <w:r>
              <w:rPr>
                <w:sz w:val="20"/>
                <w:szCs w:val="20"/>
              </w:rPr>
              <w:t xml:space="preserve"> pattern for long-running jobs with progress, S3 file storage, </w:t>
            </w:r>
            <w:r>
              <w:rPr>
                <w:rFonts w:ascii="Consolas" w:cs="Consolas" w:eastAsia="Consolas" w:hAnsi="Consolas"/>
                <w:sz w:val="19"/>
                <w:szCs w:val="19"/>
              </w:rPr>
              <w:t xml:space="preserve">Notification</w:t>
            </w:r>
            <w:r>
              <w:rPr>
                <w:sz w:val="20"/>
                <w:szCs w:val="20"/>
              </w:rPr>
              <w:t xml:space="preserve"> + email (Nodemailer) + WhatsApp channels, cron routes under </w:t>
            </w:r>
            <w:r>
              <w:rPr>
                <w:rFonts w:ascii="Consolas" w:cs="Consolas" w:eastAsia="Consolas" w:hAnsi="Consolas"/>
                <w:sz w:val="19"/>
                <w:szCs w:val="19"/>
              </w:rPr>
              <w:t xml:space="preserve">app/api/cron/*</w:t>
            </w:r>
          </w:p>
        </w:tc>
      </w:tr>
      <w:tr>
        <w:trPr>
          <w:tblHeader w:val="false"/>
        </w:trPr>
        <w:tc>
          <w:tcPr>
            <w:tcW w:type="dxa" w:w="3182"/>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Access control</w:t>
            </w:r>
          </w:p>
        </w:tc>
        <w:tc>
          <w:tcPr>
            <w:tcW w:type="dxa" w:w="6178"/>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Role string on </w:t>
            </w:r>
            <w:r>
              <w:rPr>
                <w:rFonts w:ascii="Consolas" w:cs="Consolas" w:eastAsia="Consolas" w:hAnsi="Consolas"/>
                <w:sz w:val="19"/>
                <w:szCs w:val="19"/>
              </w:rPr>
              <w:t xml:space="preserve">User.role</w:t>
            </w:r>
            <w:r>
              <w:rPr>
                <w:sz w:val="20"/>
                <w:szCs w:val="20"/>
              </w:rPr>
              <w:t xml:space="preserve">, org scoping via </w:t>
            </w:r>
            <w:r>
              <w:rPr>
                <w:rFonts w:ascii="Consolas" w:cs="Consolas" w:eastAsia="Consolas" w:hAnsi="Consolas"/>
                <w:sz w:val="19"/>
                <w:szCs w:val="19"/>
              </w:rPr>
              <w:t xml:space="preserve">organizationId</w:t>
            </w:r>
            <w:r>
              <w:rPr>
                <w:sz w:val="20"/>
                <w:szCs w:val="20"/>
              </w:rPr>
              <w:t xml:space="preserve">, </w:t>
            </w:r>
            <w:r>
              <w:rPr>
                <w:rFonts w:ascii="Consolas" w:cs="Consolas" w:eastAsia="Consolas" w:hAnsi="Consolas"/>
                <w:sz w:val="19"/>
                <w:szCs w:val="19"/>
              </w:rPr>
              <w:t xml:space="preserve">Branch</w:t>
            </w:r>
            <w:r>
              <w:rPr>
                <w:sz w:val="20"/>
                <w:szCs w:val="20"/>
              </w:rPr>
              <w:t xml:space="preserve"> model, </w:t>
            </w:r>
            <w:r>
              <w:rPr>
                <w:rFonts w:ascii="Consolas" w:cs="Consolas" w:eastAsia="Consolas" w:hAnsi="Consolas"/>
                <w:sz w:val="19"/>
                <w:szCs w:val="19"/>
              </w:rPr>
              <w:t xml:space="preserve">system_audit_logs</w:t>
            </w:r>
          </w:p>
        </w:tc>
      </w:tr>
      <w:tr>
        <w:trPr>
          <w:tblHeader w:val="false"/>
        </w:trPr>
        <w:tc>
          <w:tcPr>
            <w:tcW w:type="dxa" w:w="3182"/>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Data sources</w:t>
            </w:r>
          </w:p>
        </w:tc>
        <w:tc>
          <w:tcPr>
            <w:tcW w:type="dxa" w:w="6178"/>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All transactional models needed by the catalogue already exist or arrive with the Inventory/HR modules (see Appendix A mapping)</w:t>
            </w:r>
          </w:p>
        </w:tc>
      </w:tr>
    </w:tbl>
    <w:p>
      <w:pPr>
        <w:spacing w:after="120"/>
      </w:pPr>
    </w:p>
    <w:p>
      <w:pPr>
        <w:pStyle w:val="Heading2"/>
      </w:pPr>
      <w:r>
        <w:t xml:space="preserve">2.2 Gaps</w:t>
      </w:r>
    </w:p>
    <w:p>
      <w:pPr>
        <w:pStyle w:val="ListParagraph"/>
        <w:numPr>
          <w:ilvl w:val="0"/>
          <w:numId w:val="2"/>
        </w:numPr>
        <w:spacing w:after="60"/>
      </w:pPr>
      <w:r>
        <w:t xml:space="preserve">No unified report catalogue or report-picker UI; admins must know which module hides which report.</w:t>
      </w:r>
    </w:p>
    <w:p>
      <w:pPr>
        <w:pStyle w:val="ListParagraph"/>
        <w:numPr>
          <w:ilvl w:val="0"/>
          <w:numId w:val="2"/>
        </w:numPr>
        <w:spacing w:after="60"/>
      </w:pPr>
      <w:r>
        <w:t xml:space="preserve">No standard filter bar (date range, branch, department, doctor, payer) — every page reinvents filters.</w:t>
      </w:r>
    </w:p>
    <w:p>
      <w:pPr>
        <w:pStyle w:val="ListParagraph"/>
        <w:numPr>
          <w:ilvl w:val="0"/>
          <w:numId w:val="2"/>
        </w:numPr>
        <w:spacing w:after="60"/>
      </w:pPr>
      <w:r>
        <w:t xml:space="preserve">No background execution: heavy date-range queries run in-request and risk timeouts on production data.</w:t>
      </w:r>
    </w:p>
    <w:p>
      <w:pPr>
        <w:pStyle w:val="ListParagraph"/>
        <w:numPr>
          <w:ilvl w:val="0"/>
          <w:numId w:val="2"/>
        </w:numPr>
        <w:spacing w:after="60"/>
      </w:pPr>
      <w:r>
        <w:t xml:space="preserve">No scheduled delivery (daily DSR to management email is a universal hospital expectation).</w:t>
      </w:r>
    </w:p>
    <w:p>
      <w:pPr>
        <w:pStyle w:val="ListParagraph"/>
        <w:numPr>
          <w:ilvl w:val="0"/>
          <w:numId w:val="2"/>
        </w:numPr>
        <w:spacing w:after="60"/>
      </w:pPr>
      <w:r>
        <w:t xml:space="preserve">No per-report access control or audit of who viewed/exported revenue data.</w:t>
      </w:r>
    </w:p>
    <w:p>
      <w:pPr>
        <w:pStyle w:val="ListParagraph"/>
        <w:numPr>
          <w:ilvl w:val="0"/>
          <w:numId w:val="2"/>
        </w:numPr>
        <w:spacing w:after="60"/>
      </w:pPr>
      <w:r>
        <w:t xml:space="preserve">No saved filter presets, no drill-down conventions, no consistent xlsx/PDF formatting with org branding.</w:t>
      </w:r>
    </w:p>
    <w:p>
      <w:pPr>
        <w:pStyle w:val="Heading1"/>
      </w:pPr>
      <w:r>
        <w:t xml:space="preserve">3. Goals, Non-Goals and Success Metrics</w:t>
      </w:r>
    </w:p>
    <w:p>
      <w:pPr>
        <w:pStyle w:val="Heading2"/>
      </w:pPr>
      <w:r>
        <w:t xml:space="preserve">3.1 Goals</w:t>
      </w:r>
    </w:p>
    <w:p>
      <w:pPr>
        <w:pStyle w:val="ListParagraph"/>
        <w:numPr>
          <w:ilvl w:val="0"/>
          <w:numId w:val="3"/>
        </w:numPr>
        <w:spacing w:after="60"/>
      </w:pPr>
      <w:r>
        <w:t xml:space="preserve">Ship all 112 customer-required MIS reports in one admin-panel module with a consistent generate → view → export experience.</w:t>
      </w:r>
    </w:p>
    <w:p>
      <w:pPr>
        <w:pStyle w:val="ListParagraph"/>
        <w:numPr>
          <w:ilvl w:val="0"/>
          <w:numId w:val="3"/>
        </w:numPr>
        <w:spacing w:after="60"/>
      </w:pPr>
      <w:r>
        <w:t xml:space="preserve">One report framework: registry + runner + export engine + scheduler, so new reports are configuration-plus-query, not new pages.</w:t>
      </w:r>
    </w:p>
    <w:p>
      <w:pPr>
        <w:pStyle w:val="ListParagraph"/>
        <w:numPr>
          <w:ilvl w:val="0"/>
          <w:numId w:val="3"/>
        </w:numPr>
        <w:spacing w:after="60"/>
      </w:pPr>
      <w:r>
        <w:t xml:space="preserve">Reports never degrade the OLTP application: heavy reports run async with row caps, streaming export, and query timeouts.</w:t>
      </w:r>
    </w:p>
    <w:p>
      <w:pPr>
        <w:pStyle w:val="ListParagraph"/>
        <w:numPr>
          <w:ilvl w:val="0"/>
          <w:numId w:val="3"/>
        </w:numPr>
        <w:spacing w:after="60"/>
      </w:pPr>
      <w:r>
        <w:t xml:space="preserve">Scheduled delivery: any report can be emailed/WhatsApped on a daily/weekly/monthly schedule with saved filters.</w:t>
      </w:r>
    </w:p>
    <w:p>
      <w:pPr>
        <w:pStyle w:val="ListParagraph"/>
        <w:numPr>
          <w:ilvl w:val="0"/>
          <w:numId w:val="3"/>
        </w:numPr>
        <w:spacing w:after="60"/>
      </w:pPr>
      <w:r>
        <w:t xml:space="preserve">Access control and audit: category-level permissions, org/branch scoping, and an audit trail of every generation and export.</w:t>
      </w:r>
    </w:p>
    <w:p>
      <w:pPr>
        <w:pStyle w:val="Heading2"/>
      </w:pPr>
      <w:r>
        <w:t xml:space="preserve">3.2 Non-goals</w:t>
      </w:r>
    </w:p>
    <w:p>
      <w:pPr>
        <w:pStyle w:val="ListParagraph"/>
        <w:numPr>
          <w:ilvl w:val="0"/>
          <w:numId w:val="2"/>
        </w:numPr>
        <w:spacing w:after="60"/>
      </w:pPr>
      <w:r>
        <w:t xml:space="preserve">Self-service ad-hoc query builder / BI tool (Metabase-class) — out of scope; the registry is code-defined.</w:t>
      </w:r>
    </w:p>
    <w:p>
      <w:pPr>
        <w:pStyle w:val="ListParagraph"/>
        <w:numPr>
          <w:ilvl w:val="0"/>
          <w:numId w:val="2"/>
        </w:numPr>
        <w:spacing w:after="60"/>
      </w:pPr>
      <w:r>
        <w:t xml:space="preserve">Replacing finance statements (TB/P&amp;L/BS) — MIS links to the existing Finance module screens.</w:t>
      </w:r>
    </w:p>
    <w:p>
      <w:pPr>
        <w:pStyle w:val="ListParagraph"/>
        <w:numPr>
          <w:ilvl w:val="0"/>
          <w:numId w:val="2"/>
        </w:numPr>
        <w:spacing w:after="60"/>
      </w:pPr>
      <w:r>
        <w:t xml:space="preserve">Real-time streaming dashboards — the existing module dashboards remain; MIS is request/schedule-driven reporting.</w:t>
      </w:r>
    </w:p>
    <w:p>
      <w:pPr>
        <w:pStyle w:val="ListParagraph"/>
        <w:numPr>
          <w:ilvl w:val="0"/>
          <w:numId w:val="2"/>
        </w:numPr>
        <w:spacing w:after="60"/>
      </w:pPr>
      <w:r>
        <w:t xml:space="preserve">Print formats/stationery (the workbook’s Print-List sheet) — separate effort, not this PRD.</w:t>
      </w:r>
    </w:p>
    <w:p>
      <w:pPr>
        <w:pStyle w:val="ListParagraph"/>
        <w:numPr>
          <w:ilvl w:val="0"/>
          <w:numId w:val="2"/>
        </w:numPr>
        <w:spacing w:after="60"/>
      </w:pPr>
      <w:r>
        <w:t xml:space="preserve">Data warehouse / external BI feeds (Phase 4 candidate).</w:t>
      </w:r>
    </w:p>
    <w:p>
      <w:pPr>
        <w:pStyle w:val="Heading2"/>
      </w:pPr>
      <w:r>
        <w:t xml:space="preserve">3.3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148"/>
        <w:gridCol w:w="1872"/>
        <w:gridCol w:w="2340"/>
      </w:tblGrid>
      <w:tr>
        <w:trPr>
          <w:tblHeader/>
        </w:trPr>
        <w:tc>
          <w:tcPr>
            <w:tcW w:type="dxa" w:w="5148"/>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0"/>
                <w:szCs w:val="20"/>
              </w:rPr>
              <w:t xml:space="preserve">Metric</w:t>
            </w:r>
          </w:p>
        </w:tc>
        <w:tc>
          <w:tcPr>
            <w:tcW w:type="dxa" w:w="1872"/>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0"/>
                <w:szCs w:val="20"/>
              </w:rPr>
              <w:t xml:space="preserve">Baseline</w:t>
            </w:r>
          </w:p>
        </w:tc>
        <w:tc>
          <w:tcPr>
            <w:tcW w:type="dxa" w:w="234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0"/>
                <w:szCs w:val="20"/>
              </w:rPr>
              <w:t xml:space="preserve">Target</w:t>
            </w:r>
          </w:p>
        </w:tc>
      </w:tr>
      <w:tr>
        <w:trPr>
          <w:tblHeader w:val="false"/>
        </w:trPr>
        <w:tc>
          <w:tcPr>
            <w:tcW w:type="dxa" w:w="5148"/>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Catalogue coverage of the 112 required reports</w:t>
            </w:r>
          </w:p>
        </w:tc>
        <w:tc>
          <w:tcPr>
            <w:tcW w:type="dxa" w:w="1872"/>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0</w:t>
            </w:r>
          </w:p>
        </w:tc>
        <w:tc>
          <w:tcPr>
            <w:tcW w:type="dxa" w:w="23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100% by end of Phase 3</w:t>
            </w:r>
          </w:p>
        </w:tc>
      </w:tr>
      <w:tr>
        <w:trPr>
          <w:tblHeader w:val="false"/>
        </w:trPr>
        <w:tc>
          <w:tcPr>
            <w:tcW w:type="dxa" w:w="5148"/>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p95 on-screen generation time (≤ 31-day range)</w:t>
            </w:r>
          </w:p>
        </w:tc>
        <w:tc>
          <w:tcPr>
            <w:tcW w:type="dxa" w:w="1872"/>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N/A</w:t>
            </w:r>
          </w:p>
        </w:tc>
        <w:tc>
          <w:tcPr>
            <w:tcW w:type="dxa" w:w="23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&lt; 5 s</w:t>
            </w:r>
          </w:p>
        </w:tc>
      </w:tr>
      <w:tr>
        <w:trPr>
          <w:tblHeader w:val="false"/>
        </w:trPr>
        <w:tc>
          <w:tcPr>
            <w:tcW w:type="dxa" w:w="5148"/>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Async job completion (any range, ≤ 500k rows)</w:t>
            </w:r>
          </w:p>
        </w:tc>
        <w:tc>
          <w:tcPr>
            <w:tcW w:type="dxa" w:w="1872"/>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N/A</w:t>
            </w:r>
          </w:p>
        </w:tc>
        <w:tc>
          <w:tcPr>
            <w:tcW w:type="dxa" w:w="23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&lt; 5 min, zero OLTP impact incidents</w:t>
            </w:r>
          </w:p>
        </w:tc>
      </w:tr>
      <w:tr>
        <w:trPr>
          <w:tblHeader w:val="false"/>
        </w:trPr>
        <w:tc>
          <w:tcPr>
            <w:tcW w:type="dxa" w:w="5148"/>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Scheduled report delivery success</w:t>
            </w:r>
          </w:p>
        </w:tc>
        <w:tc>
          <w:tcPr>
            <w:tcW w:type="dxa" w:w="1872"/>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N/A</w:t>
            </w:r>
          </w:p>
        </w:tc>
        <w:tc>
          <w:tcPr>
            <w:tcW w:type="dxa" w:w="23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&gt; 99.5% on time</w:t>
            </w:r>
          </w:p>
        </w:tc>
      </w:tr>
      <w:tr>
        <w:trPr>
          <w:tblHeader w:val="false"/>
        </w:trPr>
        <w:tc>
          <w:tcPr>
            <w:tcW w:type="dxa" w:w="5148"/>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Report-related production timeouts</w:t>
            </w:r>
          </w:p>
        </w:tc>
        <w:tc>
          <w:tcPr>
            <w:tcW w:type="dxa" w:w="1872"/>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Occasional today</w:t>
            </w:r>
          </w:p>
        </w:tc>
        <w:tc>
          <w:tcPr>
            <w:tcW w:type="dxa" w:w="23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0</w:t>
            </w:r>
          </w:p>
        </w:tc>
      </w:tr>
    </w:tbl>
    <w:p>
      <w:pPr>
        <w:spacing w:after="120"/>
      </w:pPr>
    </w:p>
    <w:p>
      <w:pPr>
        <w:pStyle w:val="Heading1"/>
      </w:pPr>
      <w:r>
        <w:t xml:space="preserve">4. Users, Roles and Permissions</w:t>
      </w:r>
    </w:p>
    <w:p>
      <w:pPr>
        <w:spacing w:after="120"/>
      </w:pPr>
      <w:r>
        <w:t xml:space="preserve">Primary surface is the Admin panel, but category-level permissions let other roles receive scoped access later without rework.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4"/>
        <w:gridCol w:w="6926"/>
      </w:tblGrid>
      <w:tr>
        <w:trPr>
          <w:tblHeader/>
        </w:trPr>
        <w:tc>
          <w:tcPr>
            <w:tcW w:type="dxa" w:w="2434"/>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0"/>
                <w:szCs w:val="20"/>
              </w:rPr>
              <w:t xml:space="preserve">Role</w:t>
            </w:r>
          </w:p>
        </w:tc>
        <w:tc>
          <w:tcPr>
            <w:tcW w:type="dxa" w:w="6926"/>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0"/>
                <w:szCs w:val="20"/>
              </w:rPr>
              <w:t xml:space="preserve">Access</w:t>
            </w:r>
          </w:p>
        </w:tc>
      </w:tr>
      <w:tr>
        <w:trPr>
          <w:tblHeader w:val="false"/>
        </w:trPr>
        <w:tc>
          <w:tcPr>
            <w:tcW w:type="dxa" w:w="2434"/>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admin</w:t>
            </w:r>
          </w:p>
        </w:tc>
        <w:tc>
          <w:tcPr>
            <w:tcW w:type="dxa" w:w="6926"/>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Full catalogue, all categories, manage schedules and presets for the organization.</w:t>
            </w:r>
          </w:p>
        </w:tc>
      </w:tr>
      <w:tr>
        <w:trPr>
          <w:tblHeader w:val="false"/>
        </w:trPr>
        <w:tc>
          <w:tcPr>
            <w:tcW w:type="dxa" w:w="2434"/>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finance</w:t>
            </w:r>
          </w:p>
        </w:tc>
        <w:tc>
          <w:tcPr>
            <w:tcW w:type="dxa" w:w="6926"/>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Billing, Revenue, Doctor Payout, Pharmacy tax/HSN, Inventory valuation categories.</w:t>
            </w:r>
          </w:p>
        </w:tc>
      </w:tr>
      <w:tr>
        <w:trPr>
          <w:tblHeader w:val="false"/>
        </w:trPr>
        <w:tc>
          <w:tcPr>
            <w:tcW w:type="dxa" w:w="2434"/>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Consolas" w:cs="Consolas" w:eastAsia="Consolas" w:hAnsi="Consolas"/>
                <w:sz w:val="19"/>
                <w:szCs w:val="19"/>
              </w:rPr>
              <w:t xml:space="preserve">store_manager</w:t>
            </w:r>
            <w:r>
              <w:rPr>
                <w:sz w:val="20"/>
                <w:szCs w:val="20"/>
              </w:rPr>
              <w:t xml:space="preserve"> (from Inventory PRD)</w:t>
            </w:r>
          </w:p>
        </w:tc>
        <w:tc>
          <w:tcPr>
            <w:tcW w:type="dxa" w:w="6926"/>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Inventory category scoped to own stores.</w:t>
            </w:r>
          </w:p>
        </w:tc>
      </w:tr>
      <w:tr>
        <w:trPr>
          <w:tblHeader w:val="false"/>
        </w:trPr>
        <w:tc>
          <w:tcPr>
            <w:tcW w:type="dxa" w:w="2434"/>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hr / payroll_admin (from HR PRD)</w:t>
            </w:r>
          </w:p>
        </w:tc>
        <w:tc>
          <w:tcPr>
            <w:tcW w:type="dxa" w:w="6926"/>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Doctor payout &amp; payable reports (read), staff-related MIS when added.</w:t>
            </w:r>
          </w:p>
        </w:tc>
      </w:tr>
      <w:tr>
        <w:trPr>
          <w:tblHeader w:val="false"/>
        </w:trPr>
        <w:tc>
          <w:tcPr>
            <w:tcW w:type="dxa" w:w="2434"/>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opd_manager / ipd_manager</w:t>
            </w:r>
          </w:p>
        </w:tc>
        <w:tc>
          <w:tcPr>
            <w:tcW w:type="dxa" w:w="6926"/>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Registration, Appointment, Admission categories scoped to branch.</w:t>
            </w:r>
          </w:p>
        </w:tc>
      </w:tr>
      <w:tr>
        <w:trPr>
          <w:tblHeader w:val="false"/>
        </w:trPr>
        <w:tc>
          <w:tcPr>
            <w:tcW w:type="dxa" w:w="2434"/>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Permission model</w:t>
            </w:r>
          </w:p>
        </w:tc>
        <w:tc>
          <w:tcPr>
            <w:tcW w:type="dxa" w:w="6926"/>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New permission keys </w:t>
            </w:r>
            <w:r>
              <w:rPr>
                <w:rFonts w:ascii="Consolas" w:cs="Consolas" w:eastAsia="Consolas" w:hAnsi="Consolas"/>
                <w:sz w:val="19"/>
                <w:szCs w:val="19"/>
              </w:rPr>
              <w:t xml:space="preserve">mis_reports.&lt;category&gt;.view</w:t>
            </w:r>
            <w:r>
              <w:rPr>
                <w:sz w:val="20"/>
                <w:szCs w:val="20"/>
              </w:rPr>
              <w:t xml:space="preserve"> and </w:t>
            </w:r>
            <w:r>
              <w:rPr>
                <w:rFonts w:ascii="Consolas" w:cs="Consolas" w:eastAsia="Consolas" w:hAnsi="Consolas"/>
                <w:sz w:val="19"/>
                <w:szCs w:val="19"/>
              </w:rPr>
              <w:t xml:space="preserve">.export</w:t>
            </w:r>
            <w:r>
              <w:rPr>
                <w:sz w:val="20"/>
                <w:szCs w:val="20"/>
              </w:rPr>
              <w:t xml:space="preserve"> enforced in every action via the existing </w:t>
            </w:r>
            <w:r>
              <w:rPr>
                <w:rFonts w:ascii="Consolas" w:cs="Consolas" w:eastAsia="Consolas" w:hAnsi="Consolas"/>
                <w:sz w:val="19"/>
                <w:szCs w:val="19"/>
              </w:rPr>
              <w:t xml:space="preserve">Role</w:t>
            </w:r>
            <w:r>
              <w:rPr>
                <w:sz w:val="20"/>
                <w:szCs w:val="20"/>
              </w:rPr>
              <w:t xml:space="preserve">/</w:t>
            </w:r>
            <w:r>
              <w:rPr>
                <w:rFonts w:ascii="Consolas" w:cs="Consolas" w:eastAsia="Consolas" w:hAnsi="Consolas"/>
                <w:sz w:val="19"/>
                <w:szCs w:val="19"/>
              </w:rPr>
              <w:t xml:space="preserve">Permission</w:t>
            </w:r>
            <w:r>
              <w:rPr>
                <w:sz w:val="20"/>
                <w:szCs w:val="20"/>
              </w:rPr>
              <w:t xml:space="preserve"> models; every generation/export logged to </w:t>
            </w:r>
            <w:r>
              <w:rPr>
                <w:rFonts w:ascii="Consolas" w:cs="Consolas" w:eastAsia="Consolas" w:hAnsi="Consolas"/>
                <w:sz w:val="19"/>
                <w:szCs w:val="19"/>
              </w:rPr>
              <w:t xml:space="preserve">system_audit_logs</w:t>
            </w:r>
            <w:r>
              <w:rPr>
                <w:sz w:val="20"/>
                <w:szCs w:val="20"/>
              </w:rPr>
              <w:t xml:space="preserve"> (user, report, filters, row count, format).</w:t>
            </w:r>
          </w:p>
        </w:tc>
      </w:tr>
    </w:tbl>
    <w:p>
      <w:pPr>
        <w:spacing w:after="120"/>
      </w:pPr>
    </w:p>
    <w:p>
      <w:pPr>
        <w:pStyle w:val="Heading1"/>
      </w:pPr>
      <w:r>
        <w:t xml:space="preserve">5. Functional Requirements</w:t>
      </w:r>
    </w:p>
    <w:p>
      <w:pPr>
        <w:pStyle w:val="Heading2"/>
      </w:pPr>
      <w:r>
        <w:t xml:space="preserve">5.1 Report Catalogue &amp; Picker (FR-MIS-01)</w:t>
      </w:r>
    </w:p>
    <w:p>
      <w:pPr>
        <w:pStyle w:val="ListParagraph"/>
        <w:numPr>
          <w:ilvl w:val="0"/>
          <w:numId w:val="2"/>
        </w:numPr>
        <w:spacing w:after="60"/>
      </w:pPr>
      <w:r>
        <w:t xml:space="preserve">Landing page </w:t>
      </w:r>
      <w:r>
        <w:rPr>
          <w:rFonts w:ascii="Consolas" w:cs="Consolas" w:eastAsia="Consolas" w:hAnsi="Consolas"/>
          <w:sz w:val="19"/>
          <w:szCs w:val="19"/>
        </w:rPr>
        <w:t xml:space="preserve">app/admin/mis-reports</w:t>
      </w:r>
      <w:r>
        <w:t xml:space="preserve">: category cards (Registration, Appointment, Billing, Diagnostic, Pharmacy, Admission, OT &amp; Cathlab, Inventory, Ambulance, Optical, Revenue) with report counts; searchable, with Favorites and Recently Generated rails per user.</w:t>
      </w:r>
    </w:p>
    <w:p>
      <w:pPr>
        <w:pStyle w:val="ListParagraph"/>
        <w:numPr>
          <w:ilvl w:val="0"/>
          <w:numId w:val="2"/>
        </w:numPr>
        <w:spacing w:after="60"/>
      </w:pPr>
      <w:r>
        <w:t xml:space="preserve">Each report shows: name, description, required filters, data freshness note (live OLTP), typical row volume, and permission state (locked categories greyed out).</w:t>
      </w:r>
    </w:p>
    <w:p>
      <w:pPr>
        <w:pStyle w:val="ListParagraph"/>
        <w:numPr>
          <w:ilvl w:val="0"/>
          <w:numId w:val="2"/>
        </w:numPr>
        <w:spacing w:after="60"/>
      </w:pPr>
      <w:r>
        <w:t xml:space="preserve">Catalogue is driven by the registry — reports whose backing module is disabled via </w:t>
      </w:r>
      <w:r>
        <w:rPr>
          <w:rFonts w:ascii="Consolas" w:cs="Consolas" w:eastAsia="Consolas" w:hAnsi="Consolas"/>
          <w:sz w:val="19"/>
          <w:szCs w:val="19"/>
        </w:rPr>
        <w:t xml:space="preserve">ModuleConfig</w:t>
      </w:r>
      <w:r>
        <w:t xml:space="preserve"> (e.g., Optical) appear as “Module not enabled” instead of erroring.</w:t>
      </w:r>
    </w:p>
    <w:p>
      <w:pPr>
        <w:pStyle w:val="Heading2"/>
      </w:pPr>
      <w:r>
        <w:t xml:space="preserve">5.2 Report Definition Registry (FR-MIS-02)</w:t>
      </w:r>
    </w:p>
    <w:p>
      <w:pPr>
        <w:spacing w:after="120"/>
      </w:pPr>
      <w:r>
        <w:rPr>
          <w:b/>
          <w:bCs/>
        </w:rPr>
        <w:t xml:space="preserve">Core design.</w:t>
      </w:r>
      <w:r>
        <w:t xml:space="preserve"> Each report is a TypeScript definition registered in </w:t>
      </w:r>
      <w:r>
        <w:rPr>
          <w:rFonts w:ascii="Consolas" w:cs="Consolas" w:eastAsia="Consolas" w:hAnsi="Consolas"/>
          <w:sz w:val="19"/>
          <w:szCs w:val="19"/>
        </w:rPr>
        <w:t xml:space="preserve">lib/mis/registry/</w:t>
      </w:r>
      <w:r>
        <w:t xml:space="preserve">:</w:t>
      </w:r>
    </w:p>
    <w:p>
      <w:pPr>
        <w:shd w:fill="F2F2F2" w:val="clear"/>
        <w:spacing w:after="0"/>
      </w:pPr>
      <w:r>
        <w:rPr>
          <w:rFonts w:ascii="Consolas" w:cs="Consolas" w:eastAsia="Consolas" w:hAnsi="Consolas"/>
          <w:sz w:val="18"/>
          <w:szCs w:val="18"/>
        </w:rPr>
        <w:t xml:space="preserve">interface ReportDefinition {</w:t>
      </w:r>
    </w:p>
    <w:p>
      <w:pPr>
        <w:shd w:fill="F2F2F2" w:val="clear"/>
        <w:spacing w:after="0"/>
      </w:pPr>
      <w:r>
        <w:rPr>
          <w:rFonts w:ascii="Consolas" w:cs="Consolas" w:eastAsia="Consolas" w:hAnsi="Consolas"/>
          <w:sz w:val="18"/>
          <w:szCs w:val="18"/>
        </w:rPr>
        <w:t xml:space="preserve">  id: string;                  // e.g. "billing.payment-mode-breakup"</w:t>
      </w:r>
    </w:p>
    <w:p>
      <w:pPr>
        <w:shd w:fill="F2F2F2" w:val="clear"/>
        <w:spacing w:after="0"/>
      </w:pPr>
      <w:r>
        <w:rPr>
          <w:rFonts w:ascii="Consolas" w:cs="Consolas" w:eastAsia="Consolas" w:hAnsi="Consolas"/>
          <w:sz w:val="18"/>
          <w:szCs w:val="18"/>
        </w:rPr>
        <w:t xml:space="preserve">  category: ReportCategory;    // drives grouping + permission key</w:t>
      </w:r>
    </w:p>
    <w:p>
      <w:pPr>
        <w:shd w:fill="F2F2F2" w:val="clear"/>
        <w:spacing w:after="0"/>
      </w:pPr>
      <w:r>
        <w:rPr>
          <w:rFonts w:ascii="Consolas" w:cs="Consolas" w:eastAsia="Consolas" w:hAnsi="Consolas"/>
          <w:sz w:val="18"/>
          <w:szCs w:val="18"/>
        </w:rPr>
        <w:t xml:space="preserve">  name: string; description: string;</w:t>
      </w:r>
    </w:p>
    <w:p>
      <w:pPr>
        <w:shd w:fill="F2F2F2" w:val="clear"/>
        <w:spacing w:after="0"/>
      </w:pPr>
      <w:r>
        <w:rPr>
          <w:rFonts w:ascii="Consolas" w:cs="Consolas" w:eastAsia="Consolas" w:hAnsi="Consolas"/>
          <w:sz w:val="18"/>
          <w:szCs w:val="18"/>
        </w:rPr>
        <w:t xml:space="preserve">  filters: ZodSchema;          // date range mandatory; branch/department/doctor/payer/store optional per report</w:t>
      </w:r>
    </w:p>
    <w:p>
      <w:pPr>
        <w:shd w:fill="F2F2F2" w:val="clear"/>
        <w:spacing w:after="0"/>
      </w:pPr>
      <w:r>
        <w:rPr>
          <w:rFonts w:ascii="Consolas" w:cs="Consolas" w:eastAsia="Consolas" w:hAnsi="Consolas"/>
          <w:sz w:val="18"/>
          <w:szCs w:val="18"/>
        </w:rPr>
        <w:t xml:space="preserve">  columns: ColumnSpec[];       // key, label, type (string|number|currency|date|percent), align, total?: "sum"|"avg"</w:t>
      </w:r>
    </w:p>
    <w:p>
      <w:pPr>
        <w:shd w:fill="F2F2F2" w:val="clear"/>
        <w:spacing w:after="0"/>
      </w:pPr>
      <w:r>
        <w:rPr>
          <w:rFonts w:ascii="Consolas" w:cs="Consolas" w:eastAsia="Consolas" w:hAnsi="Consolas"/>
          <w:sz w:val="18"/>
          <w:szCs w:val="18"/>
        </w:rPr>
        <w:t xml:space="preserve">  defaultSort: SortSpec; rowLimitSync: number;        // above this -&gt; async job</w:t>
      </w:r>
    </w:p>
    <w:p>
      <w:pPr>
        <w:shd w:fill="F2F2F2" w:val="clear"/>
        <w:spacing w:after="0"/>
      </w:pPr>
      <w:r>
        <w:rPr>
          <w:rFonts w:ascii="Consolas" w:cs="Consolas" w:eastAsia="Consolas" w:hAnsi="Consolas"/>
          <w:sz w:val="18"/>
          <w:szCs w:val="18"/>
        </w:rPr>
        <w:t xml:space="preserve">  query: (org: OrgContext, f: Filters, page: Pagination) =&gt; Promise&lt;ReportResult&gt;;</w:t>
      </w:r>
    </w:p>
    <w:p>
      <w:pPr>
        <w:shd w:fill="F2F2F2" w:val="clear"/>
        <w:spacing w:after="0"/>
      </w:pPr>
      <w:r>
        <w:rPr>
          <w:rFonts w:ascii="Consolas" w:cs="Consolas" w:eastAsia="Consolas" w:hAnsi="Consolas"/>
          <w:sz w:val="18"/>
          <w:szCs w:val="18"/>
        </w:rPr>
        <w:t xml:space="preserve">  drilldown?: DrilldownSpec;   // e.g. summary row -&gt; detail report with inherited filters</w:t>
      </w:r>
    </w:p>
    <w:p>
      <w:pPr>
        <w:shd w:fill="F2F2F2" w:val="clear"/>
        <w:spacing w:after="0"/>
      </w:pPr>
      <w:r>
        <w:rPr>
          <w:rFonts w:ascii="Consolas" w:cs="Consolas" w:eastAsia="Consolas" w:hAnsi="Consolas"/>
          <w:sz w:val="18"/>
          <w:szCs w:val="18"/>
        </w:rPr>
        <w:t xml:space="preserve">}</w:t>
      </w:r>
    </w:p>
    <w:p>
      <w:pPr>
        <w:spacing w:after="120"/>
      </w:pPr>
    </w:p>
    <w:p>
      <w:pPr>
        <w:pStyle w:val="ListParagraph"/>
        <w:numPr>
          <w:ilvl w:val="0"/>
          <w:numId w:val="2"/>
        </w:numPr>
        <w:spacing w:after="60"/>
      </w:pPr>
      <w:r>
        <w:t xml:space="preserve">Queries are parameterized Prisma/SQL in the definition — no user-supplied SQL, no dynamic query builder; org scoping injected by the runner, never by the report author.</w:t>
      </w:r>
    </w:p>
    <w:p>
      <w:pPr>
        <w:pStyle w:val="ListParagraph"/>
        <w:numPr>
          <w:ilvl w:val="0"/>
          <w:numId w:val="2"/>
        </w:numPr>
        <w:spacing w:after="60"/>
      </w:pPr>
      <w:r>
        <w:t xml:space="preserve">Summary/detail pairs (e.g., Billing Summary ↔ Billing Detail) share filter schemas so drill-down inherits filters.</w:t>
      </w:r>
    </w:p>
    <w:p>
      <w:pPr>
        <w:pStyle w:val="ListParagraph"/>
        <w:numPr>
          <w:ilvl w:val="0"/>
          <w:numId w:val="2"/>
        </w:numPr>
        <w:spacing w:after="60"/>
      </w:pPr>
      <w:r>
        <w:t xml:space="preserve">Column totals/subtotals declared in the spec render identically on screen, xlsx, and PDF.</w:t>
      </w:r>
    </w:p>
    <w:p>
      <w:pPr>
        <w:pStyle w:val="ListParagraph"/>
        <w:numPr>
          <w:ilvl w:val="0"/>
          <w:numId w:val="2"/>
        </w:numPr>
        <w:spacing w:after="60"/>
      </w:pPr>
      <w:r>
        <w:t xml:space="preserve">Registry is unit-testable: every definition ships with a seed-data snapshot test asserting columns, totals and row counts.</w:t>
      </w:r>
    </w:p>
    <w:p>
      <w:pPr>
        <w:pStyle w:val="Heading2"/>
      </w:pPr>
      <w:r>
        <w:t xml:space="preserve">5.3 Filters &amp; Presets (FR-MIS-03)</w:t>
      </w:r>
    </w:p>
    <w:p>
      <w:pPr>
        <w:pStyle w:val="ListParagraph"/>
        <w:numPr>
          <w:ilvl w:val="0"/>
          <w:numId w:val="2"/>
        </w:numPr>
        <w:spacing w:after="60"/>
      </w:pPr>
      <w:r>
        <w:rPr>
          <w:b/>
          <w:bCs/>
        </w:rPr>
        <w:t xml:space="preserve">Standard filter bar</w:t>
      </w:r>
      <w:r>
        <w:t xml:space="preserve"> rendered from the Zod schema: date range with quick picks (Today, Yesterday, This Week, MTD, Last Month, FY-to-date, custom), branch (multi), department, doctor, payer/payer-type (cash/insurance/corporate via </w:t>
      </w:r>
      <w:r>
        <w:rPr>
          <w:rFonts w:ascii="Consolas" w:cs="Consolas" w:eastAsia="Consolas" w:hAnsi="Consolas"/>
          <w:sz w:val="19"/>
          <w:szCs w:val="19"/>
        </w:rPr>
        <w:t xml:space="preserve">insurance_providers</w:t>
      </w:r>
      <w:r>
        <w:t xml:space="preserve">/</w:t>
      </w:r>
      <w:r>
        <w:rPr>
          <w:rFonts w:ascii="Consolas" w:cs="Consolas" w:eastAsia="Consolas" w:hAnsi="Consolas"/>
          <w:sz w:val="19"/>
          <w:szCs w:val="19"/>
        </w:rPr>
        <w:t xml:space="preserve">CorporateMaster</w:t>
      </w:r>
      <w:r>
        <w:t xml:space="preserve">), service type, ward, store, status — only the filters each report declares.</w:t>
      </w:r>
    </w:p>
    <w:p>
      <w:pPr>
        <w:pStyle w:val="ListParagraph"/>
        <w:numPr>
          <w:ilvl w:val="0"/>
          <w:numId w:val="2"/>
        </w:numPr>
        <w:spacing w:after="60"/>
      </w:pPr>
      <w:r>
        <w:t xml:space="preserve">Financial-year aware date handling (April–March) for FY quick picks and revenue reports.</w:t>
      </w:r>
    </w:p>
    <w:p>
      <w:pPr>
        <w:pStyle w:val="ListParagraph"/>
        <w:numPr>
          <w:ilvl w:val="0"/>
          <w:numId w:val="2"/>
        </w:numPr>
        <w:spacing w:after="60"/>
      </w:pPr>
      <w:r>
        <w:rPr>
          <w:b/>
          <w:bCs/>
        </w:rPr>
        <w:t xml:space="preserve">Saved presets:</w:t>
      </w:r>
      <w:r>
        <w:t xml:space="preserve"> per user per report (e.g., “Cardiology, Branch A, MTD”); presets are what schedules reference.</w:t>
      </w:r>
    </w:p>
    <w:p>
      <w:pPr>
        <w:pStyle w:val="ListParagraph"/>
        <w:numPr>
          <w:ilvl w:val="0"/>
          <w:numId w:val="2"/>
        </w:numPr>
        <w:spacing w:after="60"/>
      </w:pPr>
      <w:r>
        <w:t xml:space="preserve">Filter values validated server-side against org scope (a branch/doctor/store not in the admin’s organization is rejected).</w:t>
      </w:r>
    </w:p>
    <w:p>
      <w:pPr>
        <w:pStyle w:val="Heading2"/>
      </w:pPr>
      <w:r>
        <w:t xml:space="preserve">5.4 Generation &amp; Viewing (FR-MIS-04)</w:t>
      </w:r>
    </w:p>
    <w:p>
      <w:pPr>
        <w:pStyle w:val="ListParagraph"/>
        <w:numPr>
          <w:ilvl w:val="0"/>
          <w:numId w:val="2"/>
        </w:numPr>
        <w:spacing w:after="60"/>
      </w:pPr>
      <w:r>
        <w:rPr>
          <w:b/>
          <w:bCs/>
        </w:rPr>
        <w:t xml:space="preserve">Sync path:</w:t>
      </w:r>
      <w:r>
        <w:t xml:space="preserve"> results within the report’s </w:t>
      </w:r>
      <w:r>
        <w:rPr>
          <w:rFonts w:ascii="Consolas" w:cs="Consolas" w:eastAsia="Consolas" w:hAnsi="Consolas"/>
          <w:sz w:val="19"/>
          <w:szCs w:val="19"/>
        </w:rPr>
        <w:t xml:space="preserve">rowLimitSync</w:t>
      </w:r>
      <w:r>
        <w:t xml:space="preserve"> (default 5,000 rows) render in a virtualized table with sticky headers, column totals, sorting, and pagination; charts (Chart.js) for reports that declare a chart spec (e.g., Payment Mode Breakup pie, Revenue trends).</w:t>
      </w:r>
    </w:p>
    <w:p>
      <w:pPr>
        <w:pStyle w:val="ListParagraph"/>
        <w:numPr>
          <w:ilvl w:val="0"/>
          <w:numId w:val="2"/>
        </w:numPr>
        <w:spacing w:after="60"/>
      </w:pPr>
      <w:r>
        <w:rPr>
          <w:b/>
          <w:bCs/>
        </w:rPr>
        <w:t xml:space="preserve">Async path:</w:t>
      </w:r>
      <w:r>
        <w:t xml:space="preserve"> larger requests create a </w:t>
      </w:r>
      <w:r>
        <w:rPr>
          <w:rFonts w:ascii="Consolas" w:cs="Consolas" w:eastAsia="Consolas" w:hAnsi="Consolas"/>
          <w:sz w:val="19"/>
          <w:szCs w:val="19"/>
        </w:rPr>
        <w:t xml:space="preserve">ReportJob</w:t>
      </w:r>
      <w:r>
        <w:t xml:space="preserve"> (mirroring the </w:t>
      </w:r>
      <w:r>
        <w:rPr>
          <w:rFonts w:ascii="Consolas" w:cs="Consolas" w:eastAsia="Consolas" w:hAnsi="Consolas"/>
          <w:sz w:val="19"/>
          <w:szCs w:val="19"/>
        </w:rPr>
        <w:t xml:space="preserve">DataImportJob</w:t>
      </w:r>
      <w:r>
        <w:t xml:space="preserve"> pattern): queued → running (progress %) → completed with S3 file → notified via </w:t>
      </w:r>
      <w:r>
        <w:rPr>
          <w:rFonts w:ascii="Consolas" w:cs="Consolas" w:eastAsia="Consolas" w:hAnsi="Consolas"/>
          <w:sz w:val="19"/>
          <w:szCs w:val="19"/>
        </w:rPr>
        <w:t xml:space="preserve">Notification</w:t>
      </w:r>
      <w:r>
        <w:t xml:space="preserve">; job list page shows history with re-download (files expire after 30 days).</w:t>
      </w:r>
    </w:p>
    <w:p>
      <w:pPr>
        <w:pStyle w:val="ListParagraph"/>
        <w:numPr>
          <w:ilvl w:val="0"/>
          <w:numId w:val="2"/>
        </w:numPr>
        <w:spacing w:after="60"/>
      </w:pPr>
      <w:r>
        <w:rPr>
          <w:b/>
          <w:bCs/>
        </w:rPr>
        <w:t xml:space="preserve">Guard rails:</w:t>
      </w:r>
      <w:r>
        <w:t xml:space="preserve"> per-query statement timeout (30 s sync / 5 min async), max range guards per report (e.g., item-level detail reports capped at 92 days per run), and concurrency cap per org (2 running jobs).</w:t>
      </w:r>
    </w:p>
    <w:p>
      <w:pPr>
        <w:pStyle w:val="ListParagraph"/>
        <w:numPr>
          <w:ilvl w:val="0"/>
          <w:numId w:val="2"/>
        </w:numPr>
        <w:spacing w:after="60"/>
      </w:pPr>
      <w:r>
        <w:rPr>
          <w:b/>
          <w:bCs/>
        </w:rPr>
        <w:t xml:space="preserve">Drill-down:</w:t>
      </w:r>
      <w:r>
        <w:t xml:space="preserve"> clicking a summary row opens the mapped detail report pre-filtered; clicking a transaction row deep-links to the source record (invoice, GRN, admission) in its module.</w:t>
      </w:r>
    </w:p>
    <w:p>
      <w:pPr>
        <w:pStyle w:val="Heading2"/>
      </w:pPr>
      <w:r>
        <w:t xml:space="preserve">5.5 Export Engine (FR-MIS-05)</w:t>
      </w:r>
    </w:p>
    <w:p>
      <w:pPr>
        <w:pStyle w:val="ListParagraph"/>
        <w:numPr>
          <w:ilvl w:val="0"/>
          <w:numId w:val="2"/>
        </w:numPr>
        <w:spacing w:after="60"/>
      </w:pPr>
      <w:r>
        <w:rPr>
          <w:b/>
          <w:bCs/>
        </w:rPr>
        <w:t xml:space="preserve">xlsx:</w:t>
      </w:r>
      <w:r>
        <w:t xml:space="preserve"> streamed generation via the existing xlsx tooling — header block (org name/branding from </w:t>
      </w:r>
      <w:r>
        <w:rPr>
          <w:rFonts w:ascii="Consolas" w:cs="Consolas" w:eastAsia="Consolas" w:hAnsi="Consolas"/>
          <w:sz w:val="19"/>
          <w:szCs w:val="19"/>
        </w:rPr>
        <w:t xml:space="preserve">OrganizationBranding</w:t>
      </w:r>
      <w:r>
        <w:t xml:space="preserve">, report name, filters used, generated-by/at), frozen header row, typed cells (dates, currency with ₹ formatting), declared totals row, autofilter.</w:t>
      </w:r>
    </w:p>
    <w:p>
      <w:pPr>
        <w:pStyle w:val="ListParagraph"/>
        <w:numPr>
          <w:ilvl w:val="0"/>
          <w:numId w:val="2"/>
        </w:numPr>
        <w:spacing w:after="60"/>
      </w:pPr>
      <w:r>
        <w:rPr>
          <w:b/>
          <w:bCs/>
        </w:rPr>
        <w:t xml:space="preserve">PDF:</w:t>
      </w:r>
      <w:r>
        <w:t xml:space="preserve"> via the existing @react-pdf/renderer pipeline for ≤ ~2,000 rows (landscape auto-selected for wide reports); above that, PDF is disabled with a hint to use xlsx.</w:t>
      </w:r>
    </w:p>
    <w:p>
      <w:pPr>
        <w:pStyle w:val="ListParagraph"/>
        <w:numPr>
          <w:ilvl w:val="0"/>
          <w:numId w:val="2"/>
        </w:numPr>
        <w:spacing w:after="60"/>
      </w:pPr>
      <w:r>
        <w:rPr>
          <w:b/>
          <w:bCs/>
        </w:rPr>
        <w:t xml:space="preserve">CSV:</w:t>
      </w:r>
      <w:r>
        <w:t xml:space="preserve"> raw stream for integration use.</w:t>
      </w:r>
    </w:p>
    <w:p>
      <w:pPr>
        <w:pStyle w:val="ListParagraph"/>
        <w:numPr>
          <w:ilvl w:val="0"/>
          <w:numId w:val="2"/>
        </w:numPr>
        <w:spacing w:after="60"/>
      </w:pPr>
      <w:r>
        <w:t xml:space="preserve">Every export is audit-logged with row count and filter snapshot; exported files carry the filter snapshot on a cover sheet so a number can always be reproduced.</w:t>
      </w:r>
    </w:p>
    <w:p>
      <w:pPr>
        <w:pStyle w:val="Heading2"/>
      </w:pPr>
      <w:r>
        <w:t xml:space="preserve">5.6 Scheduled Reports (FR-MIS-06)</w:t>
      </w:r>
    </w:p>
    <w:p>
      <w:pPr>
        <w:pStyle w:val="ListParagraph"/>
        <w:numPr>
          <w:ilvl w:val="0"/>
          <w:numId w:val="2"/>
        </w:numPr>
        <w:spacing w:after="60"/>
      </w:pPr>
      <w:r>
        <w:t xml:space="preserve">Any report + saved preset can be scheduled: daily/weekly/monthly (with day picks), time, timezone (org default Asia/Kolkata), format (xlsx/PDF), recipients (users and/or raw emails; optional WhatsApp via existing channel).</w:t>
      </w:r>
    </w:p>
    <w:p>
      <w:pPr>
        <w:pStyle w:val="ListParagraph"/>
        <w:numPr>
          <w:ilvl w:val="0"/>
          <w:numId w:val="2"/>
        </w:numPr>
        <w:spacing w:after="60"/>
      </w:pPr>
      <w:r>
        <w:t xml:space="preserve">Executor cron </w:t>
      </w:r>
      <w:r>
        <w:rPr>
          <w:rFonts w:ascii="Consolas" w:cs="Consolas" w:eastAsia="Consolas" w:hAnsi="Consolas"/>
          <w:sz w:val="19"/>
          <w:szCs w:val="19"/>
        </w:rPr>
        <w:t xml:space="preserve">app/api/cron/mis-schedules</w:t>
      </w:r>
      <w:r>
        <w:t xml:space="preserve"> runs due schedules as async jobs and delivers via Nodemailer with the file attached (or an S3 link above attachment size limits).</w:t>
      </w:r>
    </w:p>
    <w:p>
      <w:pPr>
        <w:pStyle w:val="ListParagraph"/>
        <w:numPr>
          <w:ilvl w:val="0"/>
          <w:numId w:val="2"/>
        </w:numPr>
        <w:spacing w:after="60"/>
      </w:pPr>
      <w:r>
        <w:t xml:space="preserve">Failure handling: retry ×2, then alert the schedule owner and admin via Notification; schedule status board with last-run results.</w:t>
      </w:r>
    </w:p>
    <w:p>
      <w:pPr>
        <w:pStyle w:val="ListParagraph"/>
        <w:numPr>
          <w:ilvl w:val="0"/>
          <w:numId w:val="2"/>
        </w:numPr>
        <w:spacing w:after="60"/>
      </w:pPr>
      <w:r>
        <w:t xml:space="preserve">Day-1 preset shipped: “Daily DSR pack” — Date Wise Cash Collection + Billing Summary + Payment Mode Breakup + Bed Occupancy, emailed at 08:00.</w:t>
      </w:r>
    </w:p>
    <w:p>
      <w:pPr>
        <w:pStyle w:val="Heading2"/>
      </w:pPr>
      <w:r>
        <w:t xml:space="preserve">5.7 Performance &amp; Data Strategy (FR-MIS-07)</w:t>
      </w:r>
    </w:p>
    <w:p>
      <w:pPr>
        <w:pStyle w:val="ListParagraph"/>
        <w:numPr>
          <w:ilvl w:val="0"/>
          <w:numId w:val="2"/>
        </w:numPr>
        <w:spacing w:after="60"/>
      </w:pPr>
      <w:r>
        <w:t xml:space="preserve">Phase 1–2 reports query the OLTP Postgres directly with covering indexes added where report access patterns need them (each definition documents its index dependencies; reviewed by the module owner).</w:t>
      </w:r>
    </w:p>
    <w:p>
      <w:pPr>
        <w:pStyle w:val="ListParagraph"/>
        <w:numPr>
          <w:ilvl w:val="0"/>
          <w:numId w:val="2"/>
        </w:numPr>
        <w:spacing w:after="60"/>
      </w:pPr>
      <w:r>
        <w:rPr>
          <w:b/>
          <w:bCs/>
        </w:rPr>
        <w:t xml:space="preserve">Materialized rollups</w:t>
      </w:r>
      <w:r>
        <w:t xml:space="preserve"> for the hot daily aggregates (daily revenue by department/payer/service-type, daily collections by mode, bed occupancy snapshots, pharmacy daily sales): nightly cron refresh + intraday refresh on demand; summary reports read rollups, detail reports read OLTP.</w:t>
      </w:r>
    </w:p>
    <w:p>
      <w:pPr>
        <w:pStyle w:val="ListParagraph"/>
        <w:numPr>
          <w:ilvl w:val="0"/>
          <w:numId w:val="2"/>
        </w:numPr>
        <w:spacing w:after="60"/>
      </w:pPr>
      <w:r>
        <w:t xml:space="preserve">When Supabase read replicas are available, report queries pin to the replica via a separate Prisma datasource; the design must keep report queries replica-safe (read-only) from day one.</w:t>
      </w:r>
    </w:p>
    <w:p>
      <w:pPr>
        <w:pStyle w:val="ListParagraph"/>
        <w:numPr>
          <w:ilvl w:val="0"/>
          <w:numId w:val="2"/>
        </w:numPr>
        <w:spacing w:after="60"/>
      </w:pPr>
      <w:r>
        <w:t xml:space="preserve">Result cache: identical report+filters within 10 minutes serves the cached result (per org), with a visible “generated at” stamp and a Refresh action.</w:t>
      </w:r>
    </w:p>
    <w:p>
      <w:pPr>
        <w:pStyle w:val="Heading1"/>
      </w:pPr>
      <w:r>
        <w:t xml:space="preserve">6. Data Model (New Prisma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21"/>
        <w:gridCol w:w="6739"/>
      </w:tblGrid>
      <w:tr>
        <w:trPr>
          <w:tblHeader/>
        </w:trPr>
        <w:tc>
          <w:tcPr>
            <w:tcW w:type="dxa" w:w="2621"/>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0"/>
                <w:szCs w:val="20"/>
              </w:rPr>
              <w:t xml:space="preserve">Model</w:t>
            </w:r>
          </w:p>
        </w:tc>
        <w:tc>
          <w:tcPr>
            <w:tcW w:type="dxa" w:w="6739"/>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0"/>
                <w:szCs w:val="20"/>
              </w:rPr>
              <w:t xml:space="preserve">Key fields (abridged)</w:t>
            </w:r>
          </w:p>
        </w:tc>
      </w:tr>
      <w:tr>
        <w:trPr>
          <w:tblHeader w:val="false"/>
        </w:trPr>
        <w:tc>
          <w:tcPr>
            <w:tcW w:type="dxa" w:w="2621"/>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Consolas" w:cs="Consolas" w:eastAsia="Consolas" w:hAnsi="Consolas"/>
                <w:sz w:val="19"/>
                <w:szCs w:val="19"/>
              </w:rPr>
              <w:t xml:space="preserve">ReportJob</w:t>
            </w:r>
          </w:p>
        </w:tc>
        <w:tc>
          <w:tcPr>
            <w:tcW w:type="dxa" w:w="6739"/>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job_number, report_id, requested_by, filters_json, status (Queued, Running, Completed, Failed, Cancelled), progress, row_count, file_key (S3), format, error?, started_at, finished_at, expires_at, organizationId</w:t>
            </w:r>
          </w:p>
        </w:tc>
      </w:tr>
      <w:tr>
        <w:trPr>
          <w:tblHeader w:val="false"/>
        </w:trPr>
        <w:tc>
          <w:tcPr>
            <w:tcW w:type="dxa" w:w="2621"/>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Consolas" w:cs="Consolas" w:eastAsia="Consolas" w:hAnsi="Consolas"/>
                <w:sz w:val="19"/>
                <w:szCs w:val="19"/>
              </w:rPr>
              <w:t xml:space="preserve">ReportPreset</w:t>
            </w:r>
          </w:p>
        </w:tc>
        <w:tc>
          <w:tcPr>
            <w:tcW w:type="dxa" w:w="6739"/>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report_id, user_id, name, filters_json, is_shared (org-visible), organizationId</w:t>
            </w:r>
          </w:p>
        </w:tc>
      </w:tr>
      <w:tr>
        <w:trPr>
          <w:tblHeader w:val="false"/>
        </w:trPr>
        <w:tc>
          <w:tcPr>
            <w:tcW w:type="dxa" w:w="2621"/>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Consolas" w:cs="Consolas" w:eastAsia="Consolas" w:hAnsi="Consolas"/>
                <w:sz w:val="19"/>
                <w:szCs w:val="19"/>
              </w:rPr>
              <w:t xml:space="preserve">ReportSchedule</w:t>
            </w:r>
          </w:p>
        </w:tc>
        <w:tc>
          <w:tcPr>
            <w:tcW w:type="dxa" w:w="6739"/>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report_id, preset_id, cron_spec (or frequency fields), format, recipients_json, channel (EMAIL, WHATSAPP, BOTH), is_active, last_run_at, last_status, owner_user_id, organizationId</w:t>
            </w:r>
          </w:p>
        </w:tc>
      </w:tr>
      <w:tr>
        <w:trPr>
          <w:tblHeader w:val="false"/>
        </w:trPr>
        <w:tc>
          <w:tcPr>
            <w:tcW w:type="dxa" w:w="2621"/>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Consolas" w:cs="Consolas" w:eastAsia="Consolas" w:hAnsi="Consolas"/>
                <w:sz w:val="19"/>
                <w:szCs w:val="19"/>
              </w:rPr>
              <w:t xml:space="preserve">ReportAccessLog</w:t>
            </w:r>
          </w:p>
        </w:tc>
        <w:tc>
          <w:tcPr>
            <w:tcW w:type="dxa" w:w="6739"/>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(or reuse system_audit_logs with action MIS_GENERATE / MIS_EXPORT / MIS_SCHEDULE) — user, report_id, filters_json, row_count, format</w:t>
            </w:r>
          </w:p>
        </w:tc>
      </w:tr>
      <w:tr>
        <w:trPr>
          <w:tblHeader w:val="false"/>
        </w:trPr>
        <w:tc>
          <w:tcPr>
            <w:tcW w:type="dxa" w:w="2621"/>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Consolas" w:cs="Consolas" w:eastAsia="Consolas" w:hAnsi="Consolas"/>
                <w:sz w:val="19"/>
                <w:szCs w:val="19"/>
              </w:rPr>
              <w:t xml:space="preserve">ReportRollupWatermark</w:t>
            </w:r>
          </w:p>
        </w:tc>
        <w:tc>
          <w:tcPr>
            <w:tcW w:type="dxa" w:w="6739"/>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rollup_name, last_refreshed_at, status — bookkeeping for materialized views</w:t>
            </w:r>
          </w:p>
        </w:tc>
      </w:tr>
    </w:tbl>
    <w:p>
      <w:pPr>
        <w:spacing w:after="120"/>
      </w:pPr>
    </w:p>
    <w:p>
      <w:pPr>
        <w:spacing w:after="120"/>
      </w:pPr>
      <w:r>
        <w:t xml:space="preserve">No report data is stored in new tables beyond rollups and S3 files; the registry itself is code, versioned in git — deliberate, so report logic is reviewable and testable like any other code.</w:t>
      </w:r>
    </w:p>
    <w:p>
      <w:pPr>
        <w:pStyle w:val="Heading1"/>
      </w:pPr>
      <w:r>
        <w:t xml:space="preserve">7. API &amp; Code Surface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31"/>
        <w:gridCol w:w="5429"/>
      </w:tblGrid>
      <w:tr>
        <w:trPr>
          <w:tblHeader/>
        </w:trPr>
        <w:tc>
          <w:tcPr>
            <w:tcW w:type="dxa" w:w="3931"/>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0"/>
                <w:szCs w:val="20"/>
              </w:rPr>
              <w:t xml:space="preserve">File</w:t>
            </w:r>
          </w:p>
        </w:tc>
        <w:tc>
          <w:tcPr>
            <w:tcW w:type="dxa" w:w="5429"/>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0"/>
                <w:szCs w:val="20"/>
              </w:rPr>
              <w:t xml:space="preserve">Responsibilities</w:t>
            </w:r>
          </w:p>
        </w:tc>
      </w:tr>
      <w:tr>
        <w:trPr>
          <w:tblHeader w:val="false"/>
        </w:trPr>
        <w:tc>
          <w:tcPr>
            <w:tcW w:type="dxa" w:w="3931"/>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Consolas" w:cs="Consolas" w:eastAsia="Consolas" w:hAnsi="Consolas"/>
                <w:sz w:val="19"/>
                <w:szCs w:val="19"/>
              </w:rPr>
              <w:t xml:space="preserve">lib/mis/registry/*.ts</w:t>
            </w:r>
          </w:p>
        </w:tc>
        <w:tc>
          <w:tcPr>
            <w:tcW w:type="dxa" w:w="5429"/>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one file per category exporting ReportDefinition[] (billing.ts, pharmacy.ts, inventory.ts, ...)</w:t>
            </w:r>
          </w:p>
        </w:tc>
      </w:tr>
      <w:tr>
        <w:trPr>
          <w:tblHeader w:val="false"/>
        </w:trPr>
        <w:tc>
          <w:tcPr>
            <w:tcW w:type="dxa" w:w="3931"/>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Consolas" w:cs="Consolas" w:eastAsia="Consolas" w:hAnsi="Consolas"/>
                <w:sz w:val="19"/>
                <w:szCs w:val="19"/>
              </w:rPr>
              <w:t xml:space="preserve">lib/mis/runner.ts</w:t>
            </w:r>
          </w:p>
        </w:tc>
        <w:tc>
          <w:tcPr>
            <w:tcW w:type="dxa" w:w="5429"/>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filter validation, org-scope injection, sync/async decision, caching, timeout enforcement</w:t>
            </w:r>
          </w:p>
        </w:tc>
      </w:tr>
      <w:tr>
        <w:trPr>
          <w:tblHeader w:val="false"/>
        </w:trPr>
        <w:tc>
          <w:tcPr>
            <w:tcW w:type="dxa" w:w="3931"/>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Consolas" w:cs="Consolas" w:eastAsia="Consolas" w:hAnsi="Consolas"/>
                <w:sz w:val="19"/>
                <w:szCs w:val="19"/>
              </w:rPr>
              <w:t xml:space="preserve">lib/mis/export/</w:t>
            </w:r>
          </w:p>
        </w:tc>
        <w:tc>
          <w:tcPr>
            <w:tcW w:type="dxa" w:w="5429"/>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xlsx-stream.ts, pdf.ts, csv.ts — shared export engine with branding header</w:t>
            </w:r>
          </w:p>
        </w:tc>
      </w:tr>
      <w:tr>
        <w:trPr>
          <w:tblHeader w:val="false"/>
        </w:trPr>
        <w:tc>
          <w:tcPr>
            <w:tcW w:type="dxa" w:w="3931"/>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Consolas" w:cs="Consolas" w:eastAsia="Consolas" w:hAnsi="Consolas"/>
                <w:sz w:val="19"/>
                <w:szCs w:val="19"/>
              </w:rPr>
              <w:t xml:space="preserve">app/actions/mis-report-actions.ts</w:t>
            </w:r>
          </w:p>
        </w:tc>
        <w:tc>
          <w:tcPr>
            <w:tcW w:type="dxa" w:w="5429"/>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listCatalogue, generateReport, getJobStatus, listJobs, presets CRUD, schedules CRUD</w:t>
            </w:r>
          </w:p>
        </w:tc>
      </w:tr>
      <w:tr>
        <w:trPr>
          <w:tblHeader w:val="false"/>
        </w:trPr>
        <w:tc>
          <w:tcPr>
            <w:tcW w:type="dxa" w:w="3931"/>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Consolas" w:cs="Consolas" w:eastAsia="Consolas" w:hAnsi="Consolas"/>
                <w:sz w:val="19"/>
                <w:szCs w:val="19"/>
              </w:rPr>
              <w:t xml:space="preserve">app/api/mis/jobs/[id]/download</w:t>
            </w:r>
          </w:p>
        </w:tc>
        <w:tc>
          <w:tcPr>
            <w:tcW w:type="dxa" w:w="5429"/>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authorized S3 presigned download</w:t>
            </w:r>
          </w:p>
        </w:tc>
      </w:tr>
      <w:tr>
        <w:trPr>
          <w:tblHeader w:val="false"/>
        </w:trPr>
        <w:tc>
          <w:tcPr>
            <w:tcW w:type="dxa" w:w="3931"/>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Consolas" w:cs="Consolas" w:eastAsia="Consolas" w:hAnsi="Consolas"/>
                <w:sz w:val="19"/>
                <w:szCs w:val="19"/>
              </w:rPr>
              <w:t xml:space="preserve">app/api/cron/mis-schedules</w:t>
            </w:r>
          </w:p>
        </w:tc>
        <w:tc>
          <w:tcPr>
            <w:tcW w:type="dxa" w:w="5429"/>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schedule executor</w:t>
            </w:r>
          </w:p>
        </w:tc>
      </w:tr>
      <w:tr>
        <w:trPr>
          <w:tblHeader w:val="false"/>
        </w:trPr>
        <w:tc>
          <w:tcPr>
            <w:tcW w:type="dxa" w:w="3931"/>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Consolas" w:cs="Consolas" w:eastAsia="Consolas" w:hAnsi="Consolas"/>
                <w:sz w:val="19"/>
                <w:szCs w:val="19"/>
              </w:rPr>
              <w:t xml:space="preserve">app/api/cron/mis-rollups</w:t>
            </w:r>
          </w:p>
        </w:tc>
        <w:tc>
          <w:tcPr>
            <w:tcW w:type="dxa" w:w="5429"/>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nightly rollup refresh</w:t>
            </w:r>
          </w:p>
        </w:tc>
      </w:tr>
      <w:tr>
        <w:trPr>
          <w:tblHeader w:val="false"/>
        </w:trPr>
        <w:tc>
          <w:tcPr>
            <w:tcW w:type="dxa" w:w="3931"/>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Consolas" w:cs="Consolas" w:eastAsia="Consolas" w:hAnsi="Consolas"/>
                <w:sz w:val="19"/>
                <w:szCs w:val="19"/>
              </w:rPr>
              <w:t xml:space="preserve">app/admin/mis-reports/</w:t>
            </w:r>
          </w:p>
        </w:tc>
        <w:tc>
          <w:tcPr>
            <w:tcW w:type="dxa" w:w="5429"/>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catalogue page, report runner page ([reportId]), jobs history, schedules manager</w:t>
            </w:r>
          </w:p>
        </w:tc>
      </w:tr>
    </w:tbl>
    <w:p>
      <w:pPr>
        <w:spacing w:after="120"/>
      </w:pPr>
    </w:p>
    <w:p>
      <w:pPr>
        <w:pStyle w:val="Heading1"/>
      </w:pPr>
      <w:r>
        <w:t xml:space="preserve">8. Acceptance Criteria (Definition of Done)</w:t>
      </w:r>
    </w:p>
    <w:p>
      <w:pPr>
        <w:pStyle w:val="ListParagraph"/>
        <w:numPr>
          <w:ilvl w:val="0"/>
          <w:numId w:val="4"/>
        </w:numPr>
        <w:spacing w:after="60"/>
      </w:pPr>
      <w:r>
        <w:t xml:space="preserve">Admin opens MIS Reports, searches “payment mode”, runs Payment Mode Breakup for MTD across two branches, sees on-screen totals matching the billing module to the rupee, and exports a branded xlsx whose cover sheet records the filters.</w:t>
      </w:r>
    </w:p>
    <w:p>
      <w:pPr>
        <w:pStyle w:val="ListParagraph"/>
        <w:numPr>
          <w:ilvl w:val="0"/>
          <w:numId w:val="4"/>
        </w:numPr>
        <w:spacing w:after="60"/>
      </w:pPr>
      <w:r>
        <w:t xml:space="preserve">A 6-month Billing Item Detail request automatically becomes a background job, completes without affecting app latency, notifies the admin, and downloads from job history.</w:t>
      </w:r>
    </w:p>
    <w:p>
      <w:pPr>
        <w:pStyle w:val="ListParagraph"/>
        <w:numPr>
          <w:ilvl w:val="0"/>
          <w:numId w:val="4"/>
        </w:numPr>
        <w:spacing w:after="60"/>
      </w:pPr>
      <w:r>
        <w:t xml:space="preserve">Drill-down works: Billing Summary row → Billing Detail pre-filtered → invoice deep-link opens the actual invoice.</w:t>
      </w:r>
    </w:p>
    <w:p>
      <w:pPr>
        <w:pStyle w:val="ListParagraph"/>
        <w:numPr>
          <w:ilvl w:val="0"/>
          <w:numId w:val="4"/>
        </w:numPr>
        <w:spacing w:after="60"/>
      </w:pPr>
      <w:r>
        <w:t xml:space="preserve">A scheduled Daily DSR pack arrives by email at 08:00 with correct previous-day figures; a forced failure retries then alerts the owner.</w:t>
      </w:r>
    </w:p>
    <w:p>
      <w:pPr>
        <w:pStyle w:val="ListParagraph"/>
        <w:numPr>
          <w:ilvl w:val="0"/>
          <w:numId w:val="4"/>
        </w:numPr>
        <w:spacing w:after="60"/>
      </w:pPr>
      <w:r>
        <w:t xml:space="preserve">A finance-role user sees only permitted categories; a generation and an export by any user appear in the audit log with filter snapshots.</w:t>
      </w:r>
    </w:p>
    <w:p>
      <w:pPr>
        <w:pStyle w:val="ListParagraph"/>
        <w:numPr>
          <w:ilvl w:val="0"/>
          <w:numId w:val="4"/>
        </w:numPr>
        <w:spacing w:after="60"/>
      </w:pPr>
      <w:r>
        <w:t xml:space="preserve">Inventory category reports (Stock, Bin Card, GRN Summary, Slow/Fast Moving) reconcile exactly with the Inventory module’s own ledger screens for the same filters.</w:t>
      </w:r>
    </w:p>
    <w:p>
      <w:pPr>
        <w:pStyle w:val="ListParagraph"/>
        <w:numPr>
          <w:ilvl w:val="0"/>
          <w:numId w:val="4"/>
        </w:numPr>
        <w:spacing w:after="60"/>
      </w:pPr>
      <w:r>
        <w:t xml:space="preserve">Doctor Payout and Doctor Account Payable reports match the HR module payout statements for a closed cycle.</w:t>
      </w:r>
    </w:p>
    <w:p>
      <w:pPr>
        <w:pStyle w:val="ListParagraph"/>
        <w:numPr>
          <w:ilvl w:val="0"/>
          <w:numId w:val="4"/>
        </w:numPr>
        <w:spacing w:after="60"/>
      </w:pPr>
      <w:r>
        <w:t xml:space="preserve">Reports backed by disabled modules (e.g., Optical when not enabled) show “Module not enabled”, not errors.</w:t>
      </w:r>
    </w:p>
    <w:p>
      <w:pPr>
        <w:pStyle w:val="ListParagraph"/>
        <w:numPr>
          <w:ilvl w:val="0"/>
          <w:numId w:val="4"/>
        </w:numPr>
        <w:spacing w:after="60"/>
      </w:pPr>
      <w:r>
        <w:t xml:space="preserve">All 112 catalogue reports have passing snapshot tests against seed data; cross-org access attempts fail.</w:t>
      </w:r>
    </w:p>
    <w:p>
      <w:pPr>
        <w:pStyle w:val="ListParagraph"/>
        <w:numPr>
          <w:ilvl w:val="0"/>
          <w:numId w:val="4"/>
        </w:numPr>
        <w:spacing w:after="60"/>
      </w:pPr>
      <w:r>
        <w:t xml:space="preserve">Load test: 10 concurrent admins generating mixed reports cause no OLTP p95 regression beyond 10%.</w:t>
      </w:r>
    </w:p>
    <w:p>
      <w:pPr>
        <w:pStyle w:val="Heading1"/>
      </w:pPr>
      <w:r>
        <w:t xml:space="preserve">9. Delivery Plan &amp; Phasing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5"/>
        <w:gridCol w:w="5242"/>
        <w:gridCol w:w="2434"/>
      </w:tblGrid>
      <w:tr>
        <w:trPr>
          <w:tblHeader/>
        </w:trPr>
        <w:tc>
          <w:tcPr>
            <w:tcW w:type="dxa" w:w="1685"/>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0"/>
                <w:szCs w:val="20"/>
              </w:rPr>
              <w:t xml:space="preserve">Phase</w:t>
            </w:r>
          </w:p>
        </w:tc>
        <w:tc>
          <w:tcPr>
            <w:tcW w:type="dxa" w:w="5242"/>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0"/>
                <w:szCs w:val="20"/>
              </w:rPr>
              <w:t xml:space="preserve">Scope</w:t>
            </w:r>
          </w:p>
        </w:tc>
        <w:tc>
          <w:tcPr>
            <w:tcW w:type="dxa" w:w="2434"/>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0"/>
                <w:szCs w:val="20"/>
              </w:rPr>
              <w:t xml:space="preserve">Target</w:t>
            </w:r>
          </w:p>
        </w:tc>
      </w:tr>
      <w:tr>
        <w:trPr>
          <w:tblHeader w:val="false"/>
        </w:trPr>
        <w:tc>
          <w:tcPr>
            <w:tcW w:type="dxa" w:w="1685"/>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Phase 1 (Weeks 1–4)</w:t>
            </w:r>
          </w:p>
        </w:tc>
        <w:tc>
          <w:tcPr>
            <w:tcW w:type="dxa" w:w="5242"/>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Framework: registry, runner, filter bar, sync viewing, xlsx/PDF/CSV export, permissions, audit. Reports: Billing (24) + Revenue (6) — the finance-critical core</w:t>
            </w:r>
          </w:p>
        </w:tc>
        <w:tc>
          <w:tcPr>
            <w:tcW w:type="dxa" w:w="2434"/>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30 reports live</w:t>
            </w:r>
          </w:p>
        </w:tc>
      </w:tr>
      <w:tr>
        <w:trPr>
          <w:tblHeader w:val="false"/>
        </w:trPr>
        <w:tc>
          <w:tcPr>
            <w:tcW w:type="dxa" w:w="1685"/>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Phase 2 (Weeks 5–8)</w:t>
            </w:r>
          </w:p>
        </w:tc>
        <w:tc>
          <w:tcPr>
            <w:tcW w:type="dxa" w:w="5242"/>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Async jobs, presets, schedules + Daily DSR pack, rollups. Reports: Registration (3), Appointment (5), Admission (15), Pharmacy (19)</w:t>
            </w:r>
          </w:p>
        </w:tc>
        <w:tc>
          <w:tcPr>
            <w:tcW w:type="dxa" w:w="2434"/>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72 reports live</w:t>
            </w:r>
          </w:p>
        </w:tc>
      </w:tr>
      <w:tr>
        <w:trPr>
          <w:tblHeader w:val="false"/>
        </w:trPr>
        <w:tc>
          <w:tcPr>
            <w:tcW w:type="dxa" w:w="1685"/>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Phase 3 (Weeks 9–12)</w:t>
            </w:r>
          </w:p>
        </w:tc>
        <w:tc>
          <w:tcPr>
            <w:tcW w:type="dxa" w:w="5242"/>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Reports: Diagnostic (13), OT &amp; Cathlab (3), Inventory (16, on the new Inventory module), Ambulance (3), Optical (5, behind ModuleConfig flag); drill-down completion; load testing</w:t>
            </w:r>
          </w:p>
        </w:tc>
        <w:tc>
          <w:tcPr>
            <w:tcW w:type="dxa" w:w="2434"/>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All 112 live</w:t>
            </w:r>
          </w:p>
        </w:tc>
      </w:tr>
      <w:tr>
        <w:trPr>
          <w:tblHeader w:val="false"/>
        </w:trPr>
        <w:tc>
          <w:tcPr>
            <w:tcW w:type="dxa" w:w="1685"/>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Phase 4 (Backlog)</w:t>
            </w:r>
          </w:p>
        </w:tc>
        <w:tc>
          <w:tcPr>
            <w:tcW w:type="dxa" w:w="5242"/>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Read-replica pinning, warehouse export, custom report builder, embedded analytics</w:t>
            </w:r>
          </w:p>
        </w:tc>
        <w:tc>
          <w:tcPr>
            <w:tcW w:type="dxa" w:w="2434"/>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w:t>
            </w:r>
          </w:p>
        </w:tc>
      </w:tr>
    </w:tbl>
    <w:p>
      <w:pPr>
        <w:spacing w:after="120"/>
      </w:pPr>
    </w:p>
    <w:p>
      <w:pPr>
        <w:pStyle w:val="Heading1"/>
      </w:pPr>
      <w:r>
        <w:t xml:space="preserve">10. Risks &amp; Open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12"/>
        <w:gridCol w:w="1872"/>
        <w:gridCol w:w="3276"/>
      </w:tblGrid>
      <w:tr>
        <w:trPr>
          <w:tblHeader/>
        </w:trPr>
        <w:tc>
          <w:tcPr>
            <w:tcW w:type="dxa" w:w="4212"/>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0"/>
                <w:szCs w:val="20"/>
              </w:rPr>
              <w:t xml:space="preserve">Risk</w:t>
            </w:r>
          </w:p>
        </w:tc>
        <w:tc>
          <w:tcPr>
            <w:tcW w:type="dxa" w:w="1872"/>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0"/>
                <w:szCs w:val="20"/>
              </w:rPr>
              <w:t xml:space="preserve">Severity</w:t>
            </w:r>
          </w:p>
        </w:tc>
        <w:tc>
          <w:tcPr>
            <w:tcW w:type="dxa" w:w="3276"/>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0"/>
                <w:szCs w:val="20"/>
              </w:rPr>
              <w:t xml:space="preserve">Mitigation</w:t>
            </w:r>
          </w:p>
        </w:tc>
      </w:tr>
      <w:tr>
        <w:trPr>
          <w:tblHeader w:val="false"/>
        </w:trPr>
        <w:tc>
          <w:tcPr>
            <w:tcW w:type="dxa" w:w="4212"/>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Heavy reports degrade production OLTP</w:t>
            </w:r>
          </w:p>
        </w:tc>
        <w:tc>
          <w:tcPr>
            <w:tcW w:type="dxa" w:w="1872"/>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High</w:t>
            </w:r>
          </w:p>
        </w:tc>
        <w:tc>
          <w:tcPr>
            <w:tcW w:type="dxa" w:w="3276"/>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Row caps, timeouts, async path, rollups, concurrency caps; replica pinning when available</w:t>
            </w:r>
          </w:p>
        </w:tc>
      </w:tr>
      <w:tr>
        <w:trPr>
          <w:tblHeader w:val="false"/>
        </w:trPr>
        <w:tc>
          <w:tcPr>
            <w:tcW w:type="dxa" w:w="4212"/>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Numbers disagree with module screens (trust killer)</w:t>
            </w:r>
          </w:p>
        </w:tc>
        <w:tc>
          <w:tcPr>
            <w:tcW w:type="dxa" w:w="1872"/>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High</w:t>
            </w:r>
          </w:p>
        </w:tc>
        <w:tc>
          <w:tcPr>
            <w:tcW w:type="dxa" w:w="3276"/>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Single source queries per metric documented in each definition; reconciliation acceptance tests vs module screens; finance sign-off per Billing/Revenue report</w:t>
            </w:r>
          </w:p>
        </w:tc>
      </w:tr>
      <w:tr>
        <w:trPr>
          <w:tblHeader w:val="false"/>
        </w:trPr>
        <w:tc>
          <w:tcPr>
            <w:tcW w:type="dxa" w:w="4212"/>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Inventory/Doctor-Payout reports depend on the two new modules’ timelines</w:t>
            </w:r>
          </w:p>
        </w:tc>
        <w:tc>
          <w:tcPr>
            <w:tcW w:type="dxa" w:w="1872"/>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Medium</w:t>
            </w:r>
          </w:p>
        </w:tc>
        <w:tc>
          <w:tcPr>
            <w:tcW w:type="dxa" w:w="3276"/>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Phase 3 sequencing; definitions stubbed against current pharmacy/ward tables where possible</w:t>
            </w:r>
          </w:p>
        </w:tc>
      </w:tr>
      <w:tr>
        <w:trPr>
          <w:tblHeader w:val="false"/>
        </w:trPr>
        <w:tc>
          <w:tcPr>
            <w:tcW w:type="dxa" w:w="4212"/>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Optical &amp; Ambulance modules are thin/absent in HospitalOS today</w:t>
            </w:r>
          </w:p>
        </w:tc>
        <w:tc>
          <w:tcPr>
            <w:tcW w:type="dxa" w:w="1872"/>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Medium</w:t>
            </w:r>
          </w:p>
        </w:tc>
        <w:tc>
          <w:tcPr>
            <w:tcW w:type="dxa" w:w="3276"/>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Ship behind ModuleConfig; ambulance reports start from patient/ambulance-request data; Optical deferred until module exists (flagged to client)</w:t>
            </w:r>
          </w:p>
        </w:tc>
      </w:tr>
      <w:tr>
        <w:trPr>
          <w:tblHeader w:val="false"/>
        </w:trPr>
        <w:tc>
          <w:tcPr>
            <w:tcW w:type="dxa" w:w="4212"/>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Scope creep via “one more report”</w:t>
            </w:r>
          </w:p>
        </w:tc>
        <w:tc>
          <w:tcPr>
            <w:tcW w:type="dxa" w:w="1872"/>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Low</w:t>
            </w:r>
          </w:p>
        </w:tc>
        <w:tc>
          <w:tcPr>
            <w:tcW w:type="dxa" w:w="3276"/>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Registry makes additions cheap but each still requires definition + snapshot test + owner sign-off</w:t>
            </w:r>
          </w:p>
        </w:tc>
      </w:tr>
    </w:tbl>
    <w:p>
      <w:pPr>
        <w:spacing w:after="120"/>
      </w:pPr>
    </w:p>
    <w:p>
      <w:pPr>
        <w:pStyle w:val="ListParagraph"/>
        <w:numPr>
          <w:ilvl w:val="0"/>
          <w:numId w:val="2"/>
        </w:numPr>
        <w:spacing w:after="60"/>
      </w:pPr>
      <w:r>
        <w:rPr>
          <w:b/>
          <w:bCs/>
        </w:rPr>
        <w:t xml:space="preserve">Open Q1:</w:t>
      </w:r>
      <w:r>
        <w:t xml:space="preserve"> Diagnostic appointment reports are split by specialty (Cardiology/Neurology/...) in the client sheet — implement as one parameterized report with a department filter, or 6 catalogue entries? Recommendation: one definition, 6 catalogue aliases.</w:t>
      </w:r>
    </w:p>
    <w:p>
      <w:pPr>
        <w:pStyle w:val="ListParagraph"/>
        <w:numPr>
          <w:ilvl w:val="0"/>
          <w:numId w:val="2"/>
        </w:numPr>
        <w:spacing w:after="60"/>
      </w:pPr>
      <w:r>
        <w:rPr>
          <w:b/>
          <w:bCs/>
        </w:rPr>
        <w:t xml:space="preserve">Open Q2:</w:t>
      </w:r>
      <w:r>
        <w:t xml:space="preserve"> Report data freshness SLA for rollup-backed summaries — is “as of last night + on-demand refresh” acceptable to the client?</w:t>
      </w:r>
    </w:p>
    <w:p>
      <w:pPr>
        <w:pStyle w:val="ListParagraph"/>
        <w:numPr>
          <w:ilvl w:val="0"/>
          <w:numId w:val="2"/>
        </w:numPr>
        <w:spacing w:after="60"/>
      </w:pPr>
      <w:r>
        <w:rPr>
          <w:b/>
          <w:bCs/>
        </w:rPr>
        <w:t xml:space="preserve">Open Q3:</w:t>
      </w:r>
      <w:r>
        <w:t xml:space="preserve"> WhatsApp delivery of files (size limits, template approval) — confirm with the existing WhatsApp Business setup.</w:t>
      </w:r>
    </w:p>
    <w:p>
      <w:pPr>
        <w:pStyle w:val="ListParagraph"/>
        <w:numPr>
          <w:ilvl w:val="0"/>
          <w:numId w:val="2"/>
        </w:numPr>
        <w:spacing w:after="60"/>
      </w:pPr>
      <w:r>
        <w:rPr>
          <w:b/>
          <w:bCs/>
        </w:rPr>
        <w:t xml:space="preserve">Open Q4:</w:t>
      </w:r>
      <w:r>
        <w:t xml:space="preserve"> The workbook row “&lt;List of New MIS Reports&gt; — TBD” implies more reports are coming; confirm change-control: new reports enter via CR with the registry estimate (≈1–2 days each).</w:t>
      </w:r>
    </w:p>
    <w:p>
      <w:r>
        <w:br w:type="page"/>
      </w:r>
    </w:p>
    <w:p>
      <w:pPr>
        <w:pStyle w:val="Heading1"/>
      </w:pPr>
      <w:r>
        <w:t xml:space="preserve">Appendix A — Report Catalogue &amp; Data-Source Mapping (112 reports)</w:t>
      </w:r>
    </w:p>
    <w:p>
      <w:pPr>
        <w:spacing w:after="120"/>
      </w:pPr>
      <w:r>
        <w:t xml:space="preserve">All reports from the client workbook’s MIS-Report-List sheet (Customer Required = Yes), grouped by category, with the HospitalOS data sources each will query. Reports marked (Inv-PRD) or (HR-PRD) depend on the new Inventory / HR modules.</w:t>
      </w:r>
    </w:p>
    <w:p>
      <w:pPr>
        <w:pStyle w:val="Heading2"/>
      </w:pPr>
      <w:r>
        <w:t xml:space="preserve">A.1 Registration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12"/>
        <w:gridCol w:w="5148"/>
      </w:tblGrid>
      <w:tr>
        <w:trPr>
          <w:tblHeader/>
        </w:trPr>
        <w:tc>
          <w:tcPr>
            <w:tcW w:type="dxa" w:w="4212"/>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0"/>
                <w:szCs w:val="20"/>
              </w:rPr>
              <w:t xml:space="preserve">Report</w:t>
            </w:r>
          </w:p>
        </w:tc>
        <w:tc>
          <w:tcPr>
            <w:tcW w:type="dxa" w:w="5148"/>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0"/>
                <w:szCs w:val="20"/>
              </w:rPr>
              <w:t xml:space="preserve">Primary sources</w:t>
            </w:r>
          </w:p>
        </w:tc>
      </w:tr>
      <w:tr>
        <w:trPr>
          <w:tblHeader w:val="false"/>
        </w:trPr>
        <w:tc>
          <w:tcPr>
            <w:tcW w:type="dxa" w:w="4212"/>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Pre Registration; Registration Convert Report; Registration Report</w:t>
            </w:r>
          </w:p>
        </w:tc>
        <w:tc>
          <w:tcPr>
            <w:tcW w:type="dxa" w:w="5148"/>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Consolas" w:cs="Consolas" w:eastAsia="Consolas" w:hAnsi="Consolas"/>
                <w:sz w:val="19"/>
                <w:szCs w:val="19"/>
              </w:rPr>
              <w:t xml:space="preserve">OPD_REG</w:t>
            </w:r>
            <w:r>
              <w:rPr>
                <w:sz w:val="20"/>
                <w:szCs w:val="20"/>
              </w:rPr>
              <w:t xml:space="preserve">, </w:t>
            </w:r>
            <w:r>
              <w:rPr>
                <w:rFonts w:ascii="Consolas" w:cs="Consolas" w:eastAsia="Consolas" w:hAnsi="Consolas"/>
                <w:sz w:val="19"/>
                <w:szCs w:val="19"/>
              </w:rPr>
              <w:t xml:space="preserve">appointments</w:t>
            </w:r>
            <w:r>
              <w:rPr>
                <w:sz w:val="20"/>
                <w:szCs w:val="20"/>
              </w:rPr>
              <w:t xml:space="preserve"> (self-registration via patient portal), </w:t>
            </w:r>
            <w:r>
              <w:rPr>
                <w:rFonts w:ascii="Consolas" w:cs="Consolas" w:eastAsia="Consolas" w:hAnsi="Consolas"/>
                <w:sz w:val="19"/>
                <w:szCs w:val="19"/>
              </w:rPr>
              <w:t xml:space="preserve">Department</w:t>
            </w:r>
            <w:r>
              <w:rPr>
                <w:sz w:val="20"/>
                <w:szCs w:val="20"/>
              </w:rPr>
              <w:t xml:space="preserve">; filters: date, branch, department, registration type</w:t>
            </w:r>
          </w:p>
        </w:tc>
      </w:tr>
    </w:tbl>
    <w:p>
      <w:pPr>
        <w:spacing w:after="120"/>
      </w:pPr>
    </w:p>
    <w:p>
      <w:pPr>
        <w:pStyle w:val="Heading2"/>
      </w:pPr>
      <w:r>
        <w:t xml:space="preserve">A.2 Appointment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12"/>
        <w:gridCol w:w="5148"/>
      </w:tblGrid>
      <w:tr>
        <w:trPr>
          <w:tblHeader/>
        </w:trPr>
        <w:tc>
          <w:tcPr>
            <w:tcW w:type="dxa" w:w="4212"/>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0"/>
                <w:szCs w:val="20"/>
              </w:rPr>
              <w:t xml:space="preserve">Report</w:t>
            </w:r>
          </w:p>
        </w:tc>
        <w:tc>
          <w:tcPr>
            <w:tcW w:type="dxa" w:w="5148"/>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0"/>
                <w:szCs w:val="20"/>
              </w:rPr>
              <w:t xml:space="preserve">Primary sources</w:t>
            </w:r>
          </w:p>
        </w:tc>
      </w:tr>
      <w:tr>
        <w:trPr>
          <w:tblHeader w:val="false"/>
        </w:trPr>
        <w:tc>
          <w:tcPr>
            <w:tcW w:type="dxa" w:w="4212"/>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Appointment Reports; Doctor Event Off Schedule; Doctor Event Off Summary; Appointment TAT; Doctor Wise Footfall</w:t>
            </w:r>
          </w:p>
        </w:tc>
        <w:tc>
          <w:tcPr>
            <w:tcW w:type="dxa" w:w="5148"/>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Consolas" w:cs="Consolas" w:eastAsia="Consolas" w:hAnsi="Consolas"/>
                <w:sz w:val="19"/>
                <w:szCs w:val="19"/>
              </w:rPr>
              <w:t xml:space="preserve">appointments</w:t>
            </w:r>
            <w:r>
              <w:rPr>
                <w:sz w:val="20"/>
                <w:szCs w:val="20"/>
              </w:rPr>
              <w:t xml:space="preserve">, </w:t>
            </w:r>
            <w:r>
              <w:rPr>
                <w:rFonts w:ascii="Consolas" w:cs="Consolas" w:eastAsia="Consolas" w:hAnsi="Consolas"/>
                <w:sz w:val="19"/>
                <w:szCs w:val="19"/>
              </w:rPr>
              <w:t xml:space="preserve">AppointmentSlot</w:t>
            </w:r>
            <w:r>
              <w:rPr>
                <w:sz w:val="20"/>
                <w:szCs w:val="20"/>
              </w:rPr>
              <w:t xml:space="preserve">, doctor leave (doctor-leave-actions), </w:t>
            </w:r>
            <w:r>
              <w:rPr>
                <w:rFonts w:ascii="Consolas" w:cs="Consolas" w:eastAsia="Consolas" w:hAnsi="Consolas"/>
                <w:sz w:val="19"/>
                <w:szCs w:val="19"/>
              </w:rPr>
              <w:t xml:space="preserve">OPD_REG</w:t>
            </w:r>
            <w:r>
              <w:rPr>
                <w:sz w:val="20"/>
                <w:szCs w:val="20"/>
              </w:rPr>
              <w:t xml:space="preserve">; TAT = booking→check-in→consult timestamps</w:t>
            </w:r>
          </w:p>
        </w:tc>
      </w:tr>
    </w:tbl>
    <w:p>
      <w:pPr>
        <w:spacing w:after="120"/>
      </w:pPr>
    </w:p>
    <w:p>
      <w:pPr>
        <w:pStyle w:val="Heading2"/>
      </w:pPr>
      <w:r>
        <w:t xml:space="preserve">A.3 Billing (24)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12"/>
        <w:gridCol w:w="5148"/>
      </w:tblGrid>
      <w:tr>
        <w:trPr>
          <w:tblHeader/>
        </w:trPr>
        <w:tc>
          <w:tcPr>
            <w:tcW w:type="dxa" w:w="4212"/>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0"/>
                <w:szCs w:val="20"/>
              </w:rPr>
              <w:t xml:space="preserve">Report</w:t>
            </w:r>
          </w:p>
        </w:tc>
        <w:tc>
          <w:tcPr>
            <w:tcW w:type="dxa" w:w="5148"/>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0"/>
                <w:szCs w:val="20"/>
              </w:rPr>
              <w:t xml:space="preserve">Primary sources</w:t>
            </w:r>
          </w:p>
        </w:tc>
      </w:tr>
      <w:tr>
        <w:trPr>
          <w:tblHeader w:val="false"/>
        </w:trPr>
        <w:tc>
          <w:tcPr>
            <w:tcW w:type="dxa" w:w="4212"/>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Billing Detail; Billing Item Detail; Billing Summary; Billing Summary Detail; Billing Revenue; Service Type Summary; Payment Service Type Summary; Payment Summary</w:t>
            </w:r>
          </w:p>
        </w:tc>
        <w:tc>
          <w:tcPr>
            <w:tcW w:type="dxa" w:w="5148"/>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Consolas" w:cs="Consolas" w:eastAsia="Consolas" w:hAnsi="Consolas"/>
                <w:sz w:val="19"/>
                <w:szCs w:val="19"/>
              </w:rPr>
              <w:t xml:space="preserve">invoices</w:t>
            </w:r>
            <w:r>
              <w:rPr>
                <w:sz w:val="20"/>
                <w:szCs w:val="20"/>
              </w:rPr>
              <w:t xml:space="preserve">, </w:t>
            </w:r>
            <w:r>
              <w:rPr>
                <w:rFonts w:ascii="Consolas" w:cs="Consolas" w:eastAsia="Consolas" w:hAnsi="Consolas"/>
                <w:sz w:val="19"/>
                <w:szCs w:val="19"/>
              </w:rPr>
              <w:t xml:space="preserve">invoice_items</w:t>
            </w:r>
            <w:r>
              <w:rPr>
                <w:sz w:val="20"/>
                <w:szCs w:val="20"/>
              </w:rPr>
              <w:t xml:space="preserve">, </w:t>
            </w:r>
            <w:r>
              <w:rPr>
                <w:rFonts w:ascii="Consolas" w:cs="Consolas" w:eastAsia="Consolas" w:hAnsi="Consolas"/>
                <w:sz w:val="19"/>
                <w:szCs w:val="19"/>
              </w:rPr>
              <w:t xml:space="preserve">payments</w:t>
            </w:r>
            <w:r>
              <w:rPr>
                <w:sz w:val="20"/>
                <w:szCs w:val="20"/>
              </w:rPr>
              <w:t xml:space="preserve">, </w:t>
            </w:r>
            <w:r>
              <w:rPr>
                <w:rFonts w:ascii="Consolas" w:cs="Consolas" w:eastAsia="Consolas" w:hAnsi="Consolas"/>
                <w:sz w:val="19"/>
                <w:szCs w:val="19"/>
              </w:rPr>
              <w:t xml:space="preserve">charge_catalog</w:t>
            </w:r>
            <w:r>
              <w:rPr>
                <w:sz w:val="20"/>
                <w:szCs w:val="20"/>
              </w:rPr>
              <w:t xml:space="preserve">, </w:t>
            </w:r>
            <w:r>
              <w:rPr>
                <w:rFonts w:ascii="Consolas" w:cs="Consolas" w:eastAsia="Consolas" w:hAnsi="Consolas"/>
                <w:sz w:val="19"/>
                <w:szCs w:val="19"/>
              </w:rPr>
              <w:t xml:space="preserve">Department</w:t>
            </w:r>
          </w:p>
        </w:tc>
      </w:tr>
      <w:tr>
        <w:trPr>
          <w:tblHeader w:val="false"/>
        </w:trPr>
        <w:tc>
          <w:tcPr>
            <w:tcW w:type="dxa" w:w="4212"/>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Payment Mode Breakup; Date Wise Cash Collection</w:t>
            </w:r>
          </w:p>
        </w:tc>
        <w:tc>
          <w:tcPr>
            <w:tcW w:type="dxa" w:w="5148"/>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Consolas" w:cs="Consolas" w:eastAsia="Consolas" w:hAnsi="Consolas"/>
                <w:sz w:val="19"/>
                <w:szCs w:val="19"/>
              </w:rPr>
              <w:t xml:space="preserve">payments</w:t>
            </w:r>
            <w:r>
              <w:rPr>
                <w:sz w:val="20"/>
                <w:szCs w:val="20"/>
              </w:rPr>
              <w:t xml:space="preserve">, </w:t>
            </w:r>
            <w:r>
              <w:rPr>
                <w:rFonts w:ascii="Consolas" w:cs="Consolas" w:eastAsia="Consolas" w:hAnsi="Consolas"/>
                <w:sz w:val="19"/>
                <w:szCs w:val="19"/>
              </w:rPr>
              <w:t xml:space="preserve">PaymentSplit</w:t>
            </w:r>
            <w:r>
              <w:rPr>
                <w:sz w:val="20"/>
                <w:szCs w:val="20"/>
              </w:rPr>
              <w:t xml:space="preserve">, </w:t>
            </w:r>
            <w:r>
              <w:rPr>
                <w:rFonts w:ascii="Consolas" w:cs="Consolas" w:eastAsia="Consolas" w:hAnsi="Consolas"/>
                <w:sz w:val="19"/>
                <w:szCs w:val="19"/>
              </w:rPr>
              <w:t xml:space="preserve">CashClosure</w:t>
            </w:r>
          </w:p>
        </w:tc>
      </w:tr>
      <w:tr>
        <w:trPr>
          <w:tblHeader w:val="false"/>
        </w:trPr>
        <w:tc>
          <w:tcPr>
            <w:tcW w:type="dxa" w:w="4212"/>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UHID Advance Deposit; Admission Advance Deposit; Deposit Refund</w:t>
            </w:r>
          </w:p>
        </w:tc>
        <w:tc>
          <w:tcPr>
            <w:tcW w:type="dxa" w:w="5148"/>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Consolas" w:cs="Consolas" w:eastAsia="Consolas" w:hAnsi="Consolas"/>
                <w:sz w:val="19"/>
                <w:szCs w:val="19"/>
              </w:rPr>
              <w:t xml:space="preserve">PatientDeposit</w:t>
            </w:r>
            <w:r>
              <w:rPr>
                <w:sz w:val="20"/>
                <w:szCs w:val="20"/>
              </w:rPr>
              <w:t xml:space="preserve">, </w:t>
            </w:r>
            <w:r>
              <w:rPr>
                <w:rFonts w:ascii="Consolas" w:cs="Consolas" w:eastAsia="Consolas" w:hAnsi="Consolas"/>
                <w:sz w:val="19"/>
                <w:szCs w:val="19"/>
              </w:rPr>
              <w:t xml:space="preserve">Refund</w:t>
            </w:r>
            <w:r>
              <w:rPr>
                <w:sz w:val="20"/>
                <w:szCs w:val="20"/>
              </w:rPr>
              <w:t xml:space="preserve">, </w:t>
            </w:r>
            <w:r>
              <w:rPr>
                <w:rFonts w:ascii="Consolas" w:cs="Consolas" w:eastAsia="Consolas" w:hAnsi="Consolas"/>
                <w:sz w:val="19"/>
                <w:szCs w:val="19"/>
              </w:rPr>
              <w:t xml:space="preserve">admissions</w:t>
            </w:r>
          </w:p>
        </w:tc>
      </w:tr>
      <w:tr>
        <w:trPr>
          <w:tblHeader w:val="false"/>
        </w:trPr>
        <w:tc>
          <w:tcPr>
            <w:tcW w:type="dxa" w:w="4212"/>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Discount Summary; Due Settled; Pending Bills; Cancel Bill Report</w:t>
            </w:r>
          </w:p>
        </w:tc>
        <w:tc>
          <w:tcPr>
            <w:tcW w:type="dxa" w:w="5148"/>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Consolas" w:cs="Consolas" w:eastAsia="Consolas" w:hAnsi="Consolas"/>
                <w:sz w:val="19"/>
                <w:szCs w:val="19"/>
              </w:rPr>
              <w:t xml:space="preserve">invoices</w:t>
            </w:r>
            <w:r>
              <w:rPr>
                <w:sz w:val="20"/>
                <w:szCs w:val="20"/>
              </w:rPr>
              <w:t xml:space="preserve"> (discount/status fields), </w:t>
            </w:r>
            <w:r>
              <w:rPr>
                <w:rFonts w:ascii="Consolas" w:cs="Consolas" w:eastAsia="Consolas" w:hAnsi="Consolas"/>
                <w:sz w:val="19"/>
                <w:szCs w:val="19"/>
              </w:rPr>
              <w:t xml:space="preserve">payments</w:t>
            </w:r>
            <w:r>
              <w:rPr>
                <w:sz w:val="20"/>
                <w:szCs w:val="20"/>
              </w:rPr>
              <w:t xml:space="preserve">, </w:t>
            </w:r>
            <w:r>
              <w:rPr>
                <w:rFonts w:ascii="Consolas" w:cs="Consolas" w:eastAsia="Consolas" w:hAnsi="Consolas"/>
                <w:sz w:val="19"/>
                <w:szCs w:val="19"/>
              </w:rPr>
              <w:t xml:space="preserve">DunningLog</w:t>
            </w:r>
          </w:p>
        </w:tc>
      </w:tr>
      <w:tr>
        <w:trPr>
          <w:tblHeader w:val="false"/>
        </w:trPr>
        <w:tc>
          <w:tcPr>
            <w:tcW w:type="dxa" w:w="4212"/>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Refund; OP Refund</w:t>
            </w:r>
          </w:p>
        </w:tc>
        <w:tc>
          <w:tcPr>
            <w:tcW w:type="dxa" w:w="5148"/>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Consolas" w:cs="Consolas" w:eastAsia="Consolas" w:hAnsi="Consolas"/>
                <w:sz w:val="19"/>
                <w:szCs w:val="19"/>
              </w:rPr>
              <w:t xml:space="preserve">Refund</w:t>
            </w:r>
            <w:r>
              <w:rPr>
                <w:sz w:val="20"/>
                <w:szCs w:val="20"/>
              </w:rPr>
              <w:t xml:space="preserve">, </w:t>
            </w:r>
            <w:r>
              <w:rPr>
                <w:rFonts w:ascii="Consolas" w:cs="Consolas" w:eastAsia="Consolas" w:hAnsi="Consolas"/>
                <w:sz w:val="19"/>
                <w:szCs w:val="19"/>
              </w:rPr>
              <w:t xml:space="preserve">CreditNote</w:t>
            </w:r>
          </w:p>
        </w:tc>
      </w:tr>
      <w:tr>
        <w:trPr>
          <w:tblHeader w:val="false"/>
        </w:trPr>
        <w:tc>
          <w:tcPr>
            <w:tcW w:type="dxa" w:w="4212"/>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Doctor Payout; Doctor Account Payable (HR-PRD)</w:t>
            </w:r>
          </w:p>
        </w:tc>
        <w:tc>
          <w:tcPr>
            <w:tcW w:type="dxa" w:w="5148"/>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Consolas" w:cs="Consolas" w:eastAsia="Consolas" w:hAnsi="Consolas"/>
                <w:sz w:val="19"/>
                <w:szCs w:val="19"/>
              </w:rPr>
              <w:t xml:space="preserve">DoctorEarning</w:t>
            </w:r>
            <w:r>
              <w:rPr>
                <w:sz w:val="20"/>
                <w:szCs w:val="20"/>
              </w:rPr>
              <w:t xml:space="preserve">, </w:t>
            </w:r>
            <w:r>
              <w:rPr>
                <w:rFonts w:ascii="Consolas" w:cs="Consolas" w:eastAsia="Consolas" w:hAnsi="Consolas"/>
                <w:sz w:val="19"/>
                <w:szCs w:val="19"/>
              </w:rPr>
              <w:t xml:space="preserve">DoctorPayout</w:t>
            </w:r>
            <w:r>
              <w:rPr>
                <w:sz w:val="20"/>
                <w:szCs w:val="20"/>
              </w:rPr>
              <w:t xml:space="preserve"> from the HR &amp; Payroll module; interim: AdmissionConsultant + invoice attribution</w:t>
            </w:r>
          </w:p>
        </w:tc>
      </w:tr>
      <w:tr>
        <w:trPr>
          <w:tblHeader w:val="false"/>
        </w:trPr>
        <w:tc>
          <w:tcPr>
            <w:tcW w:type="dxa" w:w="4212"/>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IP Package; Health Check Up Count Summary</w:t>
            </w:r>
          </w:p>
        </w:tc>
        <w:tc>
          <w:tcPr>
            <w:tcW w:type="dxa" w:w="5148"/>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Consolas" w:cs="Consolas" w:eastAsia="Consolas" w:hAnsi="Consolas"/>
                <w:sz w:val="19"/>
                <w:szCs w:val="19"/>
              </w:rPr>
              <w:t xml:space="preserve">IpdPackage</w:t>
            </w:r>
            <w:r>
              <w:rPr>
                <w:sz w:val="20"/>
                <w:szCs w:val="20"/>
              </w:rPr>
              <w:t xml:space="preserve">, </w:t>
            </w:r>
            <w:r>
              <w:rPr>
                <w:rFonts w:ascii="Consolas" w:cs="Consolas" w:eastAsia="Consolas" w:hAnsi="Consolas"/>
                <w:sz w:val="19"/>
                <w:szCs w:val="19"/>
              </w:rPr>
              <w:t xml:space="preserve">IpdAdmissionPackage</w:t>
            </w:r>
            <w:r>
              <w:rPr>
                <w:sz w:val="20"/>
                <w:szCs w:val="20"/>
              </w:rPr>
              <w:t xml:space="preserve">, health-check service items in </w:t>
            </w:r>
            <w:r>
              <w:rPr>
                <w:rFonts w:ascii="Consolas" w:cs="Consolas" w:eastAsia="Consolas" w:hAnsi="Consolas"/>
                <w:sz w:val="19"/>
                <w:szCs w:val="19"/>
              </w:rPr>
              <w:t xml:space="preserve">invoice_items</w:t>
            </w:r>
          </w:p>
        </w:tc>
      </w:tr>
      <w:tr>
        <w:trPr>
          <w:tblHeader w:val="false"/>
        </w:trPr>
        <w:tc>
          <w:tcPr>
            <w:tcW w:type="dxa" w:w="4212"/>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Payer Agreement Expiry</w:t>
            </w:r>
          </w:p>
        </w:tc>
        <w:tc>
          <w:tcPr>
            <w:tcW w:type="dxa" w:w="5148"/>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Consolas" w:cs="Consolas" w:eastAsia="Consolas" w:hAnsi="Consolas"/>
                <w:sz w:val="19"/>
                <w:szCs w:val="19"/>
              </w:rPr>
              <w:t xml:space="preserve">insurance_providers</w:t>
            </w:r>
            <w:r>
              <w:rPr>
                <w:sz w:val="20"/>
                <w:szCs w:val="20"/>
              </w:rPr>
              <w:t xml:space="preserve">, </w:t>
            </w:r>
            <w:r>
              <w:rPr>
                <w:rFonts w:ascii="Consolas" w:cs="Consolas" w:eastAsia="Consolas" w:hAnsi="Consolas"/>
                <w:sz w:val="19"/>
                <w:szCs w:val="19"/>
              </w:rPr>
              <w:t xml:space="preserve">CorporateMaster</w:t>
            </w:r>
            <w:r>
              <w:rPr>
                <w:sz w:val="20"/>
                <w:szCs w:val="20"/>
              </w:rPr>
              <w:t xml:space="preserve"> (agreement validity fields)</w:t>
            </w:r>
          </w:p>
        </w:tc>
      </w:tr>
    </w:tbl>
    <w:p>
      <w:pPr>
        <w:spacing w:after="120"/>
      </w:pPr>
    </w:p>
    <w:p>
      <w:pPr>
        <w:pStyle w:val="Heading2"/>
      </w:pPr>
      <w:r>
        <w:t xml:space="preserve">A.4 Diagnostic (13)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12"/>
        <w:gridCol w:w="5148"/>
      </w:tblGrid>
      <w:tr>
        <w:trPr>
          <w:tblHeader/>
        </w:trPr>
        <w:tc>
          <w:tcPr>
            <w:tcW w:type="dxa" w:w="4212"/>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0"/>
                <w:szCs w:val="20"/>
              </w:rPr>
              <w:t xml:space="preserve">Report</w:t>
            </w:r>
          </w:p>
        </w:tc>
        <w:tc>
          <w:tcPr>
            <w:tcW w:type="dxa" w:w="5148"/>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0"/>
                <w:szCs w:val="20"/>
              </w:rPr>
              <w:t xml:space="preserve">Primary sources</w:t>
            </w:r>
          </w:p>
        </w:tc>
      </w:tr>
      <w:tr>
        <w:trPr>
          <w:tblHeader w:val="false"/>
        </w:trPr>
        <w:tc>
          <w:tcPr>
            <w:tcW w:type="dxa" w:w="4212"/>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Appointment reports × specialty (Cardiology, Neurology, Nuclear Medicine, Pathology, Pulmonology, Radiology)</w:t>
            </w:r>
          </w:p>
        </w:tc>
        <w:tc>
          <w:tcPr>
            <w:tcW w:type="dxa" w:w="5148"/>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One parameterized definition over </w:t>
            </w:r>
            <w:r>
              <w:rPr>
                <w:rFonts w:ascii="Consolas" w:cs="Consolas" w:eastAsia="Consolas" w:hAnsi="Consolas"/>
                <w:sz w:val="19"/>
                <w:szCs w:val="19"/>
              </w:rPr>
              <w:t xml:space="preserve">appointments</w:t>
            </w:r>
            <w:r>
              <w:rPr>
                <w:sz w:val="20"/>
                <w:szCs w:val="20"/>
              </w:rPr>
              <w:t xml:space="preserve">/</w:t>
            </w:r>
            <w:r>
              <w:rPr>
                <w:rFonts w:ascii="Consolas" w:cs="Consolas" w:eastAsia="Consolas" w:hAnsi="Consolas"/>
                <w:sz w:val="19"/>
                <w:szCs w:val="19"/>
              </w:rPr>
              <w:t xml:space="preserve">lab_orders</w:t>
            </w:r>
            <w:r>
              <w:rPr>
                <w:sz w:val="20"/>
                <w:szCs w:val="20"/>
              </w:rPr>
              <w:t xml:space="preserve"> filtered by </w:t>
            </w:r>
            <w:r>
              <w:rPr>
                <w:rFonts w:ascii="Consolas" w:cs="Consolas" w:eastAsia="Consolas" w:hAnsi="Consolas"/>
                <w:sz w:val="19"/>
                <w:szCs w:val="19"/>
              </w:rPr>
              <w:t xml:space="preserve">Department</w:t>
            </w:r>
            <w:r>
              <w:rPr>
                <w:sz w:val="20"/>
                <w:szCs w:val="20"/>
              </w:rPr>
              <w:t xml:space="preserve"> (see Open Q1)</w:t>
            </w:r>
          </w:p>
        </w:tc>
      </w:tr>
      <w:tr>
        <w:trPr>
          <w:tblHeader w:val="false"/>
        </w:trPr>
        <w:tc>
          <w:tcPr>
            <w:tcW w:type="dxa" w:w="4212"/>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Service reports × specialty (Cardiology, Neurology, Pulmonology, Pathology)</w:t>
            </w:r>
          </w:p>
        </w:tc>
        <w:tc>
          <w:tcPr>
            <w:tcW w:type="dxa" w:w="5148"/>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Consolas" w:cs="Consolas" w:eastAsia="Consolas" w:hAnsi="Consolas"/>
                <w:sz w:val="19"/>
                <w:szCs w:val="19"/>
              </w:rPr>
              <w:t xml:space="preserve">invoice_items</w:t>
            </w:r>
            <w:r>
              <w:rPr>
                <w:sz w:val="20"/>
                <w:szCs w:val="20"/>
              </w:rPr>
              <w:t xml:space="preserve"> + </w:t>
            </w:r>
            <w:r>
              <w:rPr>
                <w:rFonts w:ascii="Consolas" w:cs="Consolas" w:eastAsia="Consolas" w:hAnsi="Consolas"/>
                <w:sz w:val="19"/>
                <w:szCs w:val="19"/>
              </w:rPr>
              <w:t xml:space="preserve">ClinicalOrder</w:t>
            </w:r>
            <w:r>
              <w:rPr>
                <w:sz w:val="20"/>
                <w:szCs w:val="20"/>
              </w:rPr>
              <w:t xml:space="preserve">/</w:t>
            </w:r>
            <w:r>
              <w:rPr>
                <w:rFonts w:ascii="Consolas" w:cs="Consolas" w:eastAsia="Consolas" w:hAnsi="Consolas"/>
                <w:sz w:val="19"/>
                <w:szCs w:val="19"/>
              </w:rPr>
              <w:t xml:space="preserve">PhysicianOrder</w:t>
            </w:r>
            <w:r>
              <w:rPr>
                <w:sz w:val="20"/>
                <w:szCs w:val="20"/>
              </w:rPr>
              <w:t xml:space="preserve"> by department</w:t>
            </w:r>
          </w:p>
        </w:tc>
      </w:tr>
      <w:tr>
        <w:trPr>
          <w:tblHeader w:val="false"/>
        </w:trPr>
        <w:tc>
          <w:tcPr>
            <w:tcW w:type="dxa" w:w="4212"/>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TAT Report; Pathology TAT; Radiology TAT</w:t>
            </w:r>
          </w:p>
        </w:tc>
        <w:tc>
          <w:tcPr>
            <w:tcW w:type="dxa" w:w="5148"/>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Consolas" w:cs="Consolas" w:eastAsia="Consolas" w:hAnsi="Consolas"/>
                <w:sz w:val="19"/>
                <w:szCs w:val="19"/>
              </w:rPr>
              <w:t xml:space="preserve">lab_orders</w:t>
            </w:r>
            <w:r>
              <w:rPr>
                <w:sz w:val="20"/>
                <w:szCs w:val="20"/>
              </w:rPr>
              <w:t xml:space="preserve">, </w:t>
            </w:r>
            <w:r>
              <w:rPr>
                <w:rFonts w:ascii="Consolas" w:cs="Consolas" w:eastAsia="Consolas" w:hAnsi="Consolas"/>
                <w:sz w:val="19"/>
                <w:szCs w:val="19"/>
              </w:rPr>
              <w:t xml:space="preserve">LabSampleTracking</w:t>
            </w:r>
            <w:r>
              <w:rPr>
                <w:sz w:val="20"/>
                <w:szCs w:val="20"/>
              </w:rPr>
              <w:t xml:space="preserve"> (order→sample→result→verify timestamps)</w:t>
            </w:r>
          </w:p>
        </w:tc>
      </w:tr>
    </w:tbl>
    <w:p>
      <w:pPr>
        <w:spacing w:after="120"/>
      </w:pPr>
    </w:p>
    <w:p>
      <w:pPr>
        <w:pStyle w:val="Heading2"/>
      </w:pPr>
      <w:r>
        <w:t xml:space="preserve">A.5 Pharmacy (19)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12"/>
        <w:gridCol w:w="5148"/>
      </w:tblGrid>
      <w:tr>
        <w:trPr>
          <w:tblHeader/>
        </w:trPr>
        <w:tc>
          <w:tcPr>
            <w:tcW w:type="dxa" w:w="4212"/>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0"/>
                <w:szCs w:val="20"/>
              </w:rPr>
              <w:t xml:space="preserve">Report</w:t>
            </w:r>
          </w:p>
        </w:tc>
        <w:tc>
          <w:tcPr>
            <w:tcW w:type="dxa" w:w="5148"/>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0"/>
                <w:szCs w:val="20"/>
              </w:rPr>
              <w:t xml:space="preserve">Primary sources</w:t>
            </w:r>
          </w:p>
        </w:tc>
      </w:tr>
      <w:tr>
        <w:trPr>
          <w:tblHeader w:val="false"/>
        </w:trPr>
        <w:tc>
          <w:tcPr>
            <w:tcW w:type="dxa" w:w="4212"/>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IP Issue; IP Item Detail; IP Daily; Daily IP Issue; Daily IP Return; IP Issue with Tags; IP Pharmacy Pull Off</w:t>
            </w:r>
          </w:p>
        </w:tc>
        <w:tc>
          <w:tcPr>
            <w:tcW w:type="dxa" w:w="5148"/>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Consolas" w:cs="Consolas" w:eastAsia="Consolas" w:hAnsi="Consolas"/>
                <w:sz w:val="19"/>
                <w:szCs w:val="19"/>
              </w:rPr>
              <w:t xml:space="preserve">pharmacy_orders</w:t>
            </w:r>
            <w:r>
              <w:rPr>
                <w:sz w:val="20"/>
                <w:szCs w:val="20"/>
              </w:rPr>
              <w:t xml:space="preserve">, </w:t>
            </w:r>
            <w:r>
              <w:rPr>
                <w:rFonts w:ascii="Consolas" w:cs="Consolas" w:eastAsia="Consolas" w:hAnsi="Consolas"/>
                <w:sz w:val="19"/>
                <w:szCs w:val="19"/>
              </w:rPr>
              <w:t xml:space="preserve">pharmacy_order_items</w:t>
            </w:r>
            <w:r>
              <w:rPr>
                <w:sz w:val="20"/>
                <w:szCs w:val="20"/>
              </w:rPr>
              <w:t xml:space="preserve">, </w:t>
            </w:r>
            <w:r>
              <w:rPr>
                <w:rFonts w:ascii="Consolas" w:cs="Consolas" w:eastAsia="Consolas" w:hAnsi="Consolas"/>
                <w:sz w:val="19"/>
                <w:szCs w:val="19"/>
              </w:rPr>
              <w:t xml:space="preserve">DispenseAllocation</w:t>
            </w:r>
            <w:r>
              <w:rPr>
                <w:sz w:val="20"/>
                <w:szCs w:val="20"/>
              </w:rPr>
              <w:t xml:space="preserve">, </w:t>
            </w:r>
            <w:r>
              <w:rPr>
                <w:rFonts w:ascii="Consolas" w:cs="Consolas" w:eastAsia="Consolas" w:hAnsi="Consolas"/>
                <w:sz w:val="19"/>
                <w:szCs w:val="19"/>
              </w:rPr>
              <w:t xml:space="preserve">WardStock</w:t>
            </w:r>
            <w:r>
              <w:rPr>
                <w:sz w:val="20"/>
                <w:szCs w:val="20"/>
              </w:rPr>
              <w:t xml:space="preserve"> transactions, admission links</w:t>
            </w:r>
          </w:p>
        </w:tc>
      </w:tr>
      <w:tr>
        <w:trPr>
          <w:tblHeader w:val="false"/>
        </w:trPr>
        <w:tc>
          <w:tcPr>
            <w:tcW w:type="dxa" w:w="4212"/>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OP Item Detail; OP Summary; OP Summary Detail; OP Sale Detail; OP Return Detail; OP Sale with Tags</w:t>
            </w:r>
          </w:p>
        </w:tc>
        <w:tc>
          <w:tcPr>
            <w:tcW w:type="dxa" w:w="5148"/>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Consolas" w:cs="Consolas" w:eastAsia="Consolas" w:hAnsi="Consolas"/>
                <w:sz w:val="19"/>
                <w:szCs w:val="19"/>
              </w:rPr>
              <w:t xml:space="preserve">pharmacy_orders</w:t>
            </w:r>
            <w:r>
              <w:rPr>
                <w:sz w:val="20"/>
                <w:szCs w:val="20"/>
              </w:rPr>
              <w:t xml:space="preserve"> (OP), </w:t>
            </w:r>
            <w:r>
              <w:rPr>
                <w:rFonts w:ascii="Consolas" w:cs="Consolas" w:eastAsia="Consolas" w:hAnsi="Consolas"/>
                <w:sz w:val="19"/>
                <w:szCs w:val="19"/>
              </w:rPr>
              <w:t xml:space="preserve">pharmacy_order_items</w:t>
            </w:r>
            <w:r>
              <w:rPr>
                <w:sz w:val="20"/>
                <w:szCs w:val="20"/>
              </w:rPr>
              <w:t xml:space="preserve">, </w:t>
            </w:r>
            <w:r>
              <w:rPr>
                <w:rFonts w:ascii="Consolas" w:cs="Consolas" w:eastAsia="Consolas" w:hAnsi="Consolas"/>
                <w:sz w:val="19"/>
                <w:szCs w:val="19"/>
              </w:rPr>
              <w:t xml:space="preserve">PharmacyReturn</w:t>
            </w:r>
          </w:p>
        </w:tc>
      </w:tr>
      <w:tr>
        <w:trPr>
          <w:tblHeader w:val="false"/>
        </w:trPr>
        <w:tc>
          <w:tcPr>
            <w:tcW w:type="dxa" w:w="4212"/>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OP Tax Summary; OP Tax Details; HSN Summary</w:t>
            </w:r>
          </w:p>
        </w:tc>
        <w:tc>
          <w:tcPr>
            <w:tcW w:type="dxa" w:w="5148"/>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GST fields on </w:t>
            </w:r>
            <w:r>
              <w:rPr>
                <w:rFonts w:ascii="Consolas" w:cs="Consolas" w:eastAsia="Consolas" w:hAnsi="Consolas"/>
                <w:sz w:val="19"/>
                <w:szCs w:val="19"/>
              </w:rPr>
              <w:t xml:space="preserve">pharmacy_order_items</w:t>
            </w:r>
            <w:r>
              <w:rPr>
                <w:sz w:val="20"/>
                <w:szCs w:val="20"/>
              </w:rPr>
              <w:t xml:space="preserve">/</w:t>
            </w:r>
            <w:r>
              <w:rPr>
                <w:rFonts w:ascii="Consolas" w:cs="Consolas" w:eastAsia="Consolas" w:hAnsi="Consolas"/>
                <w:sz w:val="19"/>
                <w:szCs w:val="19"/>
              </w:rPr>
              <w:t xml:space="preserve">pharmacy_medicine_master</w:t>
            </w:r>
            <w:r>
              <w:rPr>
                <w:sz w:val="20"/>
                <w:szCs w:val="20"/>
              </w:rPr>
              <w:t xml:space="preserve">, </w:t>
            </w:r>
            <w:r>
              <w:rPr>
                <w:rFonts w:ascii="Consolas" w:cs="Consolas" w:eastAsia="Consolas" w:hAnsi="Consolas"/>
                <w:sz w:val="19"/>
                <w:szCs w:val="19"/>
              </w:rPr>
              <w:t xml:space="preserve">GST_Invoice_Register</w:t>
            </w:r>
            <w:r>
              <w:rPr>
                <w:sz w:val="20"/>
                <w:szCs w:val="20"/>
              </w:rPr>
              <w:t xml:space="preserve">, </w:t>
            </w:r>
            <w:r>
              <w:rPr>
                <w:rFonts w:ascii="Consolas" w:cs="Consolas" w:eastAsia="Consolas" w:hAnsi="Consolas"/>
                <w:sz w:val="19"/>
                <w:szCs w:val="19"/>
              </w:rPr>
              <w:t xml:space="preserve">HSN_SAC_Master</w:t>
            </w:r>
          </w:p>
        </w:tc>
      </w:tr>
      <w:tr>
        <w:trPr>
          <w:tblHeader w:val="false"/>
        </w:trPr>
        <w:tc>
          <w:tcPr>
            <w:tcW w:type="dxa" w:w="4212"/>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Pharmacy Settlement</w:t>
            </w:r>
          </w:p>
        </w:tc>
        <w:tc>
          <w:tcPr>
            <w:tcW w:type="dxa" w:w="5148"/>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Consolas" w:cs="Consolas" w:eastAsia="Consolas" w:hAnsi="Consolas"/>
                <w:sz w:val="19"/>
                <w:szCs w:val="19"/>
              </w:rPr>
              <w:t xml:space="preserve">payments</w:t>
            </w:r>
            <w:r>
              <w:rPr>
                <w:sz w:val="20"/>
                <w:szCs w:val="20"/>
              </w:rPr>
              <w:t xml:space="preserve"> (pharmacy), </w:t>
            </w:r>
            <w:r>
              <w:rPr>
                <w:rFonts w:ascii="Consolas" w:cs="Consolas" w:eastAsia="Consolas" w:hAnsi="Consolas"/>
                <w:sz w:val="19"/>
                <w:szCs w:val="19"/>
              </w:rPr>
              <w:t xml:space="preserve">CashClosure</w:t>
            </w:r>
          </w:p>
        </w:tc>
      </w:tr>
      <w:tr>
        <w:trPr>
          <w:tblHeader w:val="false"/>
        </w:trPr>
        <w:tc>
          <w:tcPr>
            <w:tcW w:type="dxa" w:w="4212"/>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Doctor Wise Pharmacy Summary / Detail</w:t>
            </w:r>
          </w:p>
        </w:tc>
        <w:tc>
          <w:tcPr>
            <w:tcW w:type="dxa" w:w="5148"/>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prescriptions (</w:t>
            </w:r>
            <w:r>
              <w:rPr>
                <w:rFonts w:ascii="Consolas" w:cs="Consolas" w:eastAsia="Consolas" w:hAnsi="Consolas"/>
                <w:sz w:val="19"/>
                <w:szCs w:val="19"/>
              </w:rPr>
              <w:t xml:space="preserve">Clinical_EHR</w:t>
            </w:r>
            <w:r>
              <w:rPr>
                <w:sz w:val="20"/>
                <w:szCs w:val="20"/>
              </w:rPr>
              <w:t xml:space="preserve">/</w:t>
            </w:r>
            <w:r>
              <w:rPr>
                <w:rFonts w:ascii="Consolas" w:cs="Consolas" w:eastAsia="Consolas" w:hAnsi="Consolas"/>
                <w:sz w:val="19"/>
                <w:szCs w:val="19"/>
              </w:rPr>
              <w:t xml:space="preserve">PrescriptionTemplate</w:t>
            </w:r>
            <w:r>
              <w:rPr>
                <w:sz w:val="20"/>
                <w:szCs w:val="20"/>
              </w:rPr>
              <w:t xml:space="preserve"> usage) joined to dispense data by prescribing doctor</w:t>
            </w:r>
          </w:p>
        </w:tc>
      </w:tr>
    </w:tbl>
    <w:p>
      <w:pPr>
        <w:spacing w:after="120"/>
      </w:pPr>
    </w:p>
    <w:p>
      <w:pPr>
        <w:pStyle w:val="Heading2"/>
      </w:pPr>
      <w:r>
        <w:t xml:space="preserve">A.6 Admission / IPD (15)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12"/>
        <w:gridCol w:w="5148"/>
      </w:tblGrid>
      <w:tr>
        <w:trPr>
          <w:tblHeader/>
        </w:trPr>
        <w:tc>
          <w:tcPr>
            <w:tcW w:type="dxa" w:w="4212"/>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0"/>
                <w:szCs w:val="20"/>
              </w:rPr>
              <w:t xml:space="preserve">Report</w:t>
            </w:r>
          </w:p>
        </w:tc>
        <w:tc>
          <w:tcPr>
            <w:tcW w:type="dxa" w:w="5148"/>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0"/>
                <w:szCs w:val="20"/>
              </w:rPr>
              <w:t xml:space="preserve">Primary sources</w:t>
            </w:r>
          </w:p>
        </w:tc>
      </w:tr>
      <w:tr>
        <w:trPr>
          <w:tblHeader w:val="false"/>
        </w:trPr>
        <w:tc>
          <w:tcPr>
            <w:tcW w:type="dxa" w:w="4212"/>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IP Patient; Admissions; IP Admission Conversion; Admission Conversion (ER to IP); IP Admission Cancel; Emergency Admissions</w:t>
            </w:r>
          </w:p>
        </w:tc>
        <w:tc>
          <w:tcPr>
            <w:tcW w:type="dxa" w:w="5148"/>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Consolas" w:cs="Consolas" w:eastAsia="Consolas" w:hAnsi="Consolas"/>
                <w:sz w:val="19"/>
                <w:szCs w:val="19"/>
              </w:rPr>
              <w:t xml:space="preserve">admissions</w:t>
            </w:r>
            <w:r>
              <w:rPr>
                <w:sz w:val="20"/>
                <w:szCs w:val="20"/>
              </w:rPr>
              <w:t xml:space="preserve">, </w:t>
            </w:r>
            <w:r>
              <w:rPr>
                <w:rFonts w:ascii="Consolas" w:cs="Consolas" w:eastAsia="Consolas" w:hAnsi="Consolas"/>
                <w:sz w:val="19"/>
                <w:szCs w:val="19"/>
              </w:rPr>
              <w:t xml:space="preserve">ERRegistration</w:t>
            </w:r>
            <w:r>
              <w:rPr>
                <w:sz w:val="20"/>
                <w:szCs w:val="20"/>
              </w:rPr>
              <w:t xml:space="preserve">, </w:t>
            </w:r>
            <w:r>
              <w:rPr>
                <w:rFonts w:ascii="Consolas" w:cs="Consolas" w:eastAsia="Consolas" w:hAnsi="Consolas"/>
                <w:sz w:val="19"/>
                <w:szCs w:val="19"/>
              </w:rPr>
              <w:t xml:space="preserve">OPD_REG</w:t>
            </w:r>
          </w:p>
        </w:tc>
      </w:tr>
      <w:tr>
        <w:trPr>
          <w:tblHeader w:val="false"/>
        </w:trPr>
        <w:tc>
          <w:tcPr>
            <w:tcW w:type="dxa" w:w="4212"/>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IP Discharge; Emergency Discharge; Discharge TAT; Expired Patients</w:t>
            </w:r>
          </w:p>
        </w:tc>
        <w:tc>
          <w:tcPr>
            <w:tcW w:type="dxa" w:w="5148"/>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Consolas" w:cs="Consolas" w:eastAsia="Consolas" w:hAnsi="Consolas"/>
                <w:sz w:val="19"/>
                <w:szCs w:val="19"/>
              </w:rPr>
              <w:t xml:space="preserve">discharge_summaries</w:t>
            </w:r>
            <w:r>
              <w:rPr>
                <w:sz w:val="20"/>
                <w:szCs w:val="20"/>
              </w:rPr>
              <w:t xml:space="preserve">, </w:t>
            </w:r>
            <w:r>
              <w:rPr>
                <w:rFonts w:ascii="Consolas" w:cs="Consolas" w:eastAsia="Consolas" w:hAnsi="Consolas"/>
                <w:sz w:val="19"/>
                <w:szCs w:val="19"/>
              </w:rPr>
              <w:t xml:space="preserve">admissions</w:t>
            </w:r>
            <w:r>
              <w:rPr>
                <w:sz w:val="20"/>
                <w:szCs w:val="20"/>
              </w:rPr>
              <w:t xml:space="preserve"> (status/death flags), discharge workflow timestamps</w:t>
            </w:r>
          </w:p>
        </w:tc>
      </w:tr>
      <w:tr>
        <w:trPr>
          <w:tblHeader w:val="false"/>
        </w:trPr>
        <w:tc>
          <w:tcPr>
            <w:tcW w:type="dxa" w:w="4212"/>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Bed Status; Bed Occupancy Details; Bed Transfer; Doctor Transfer</w:t>
            </w:r>
          </w:p>
        </w:tc>
        <w:tc>
          <w:tcPr>
            <w:tcW w:type="dxa" w:w="5148"/>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Consolas" w:cs="Consolas" w:eastAsia="Consolas" w:hAnsi="Consolas"/>
                <w:sz w:val="19"/>
                <w:szCs w:val="19"/>
              </w:rPr>
              <w:t xml:space="preserve">beds</w:t>
            </w:r>
            <w:r>
              <w:rPr>
                <w:sz w:val="20"/>
                <w:szCs w:val="20"/>
              </w:rPr>
              <w:t xml:space="preserve">, </w:t>
            </w:r>
            <w:r>
              <w:rPr>
                <w:rFonts w:ascii="Consolas" w:cs="Consolas" w:eastAsia="Consolas" w:hAnsi="Consolas"/>
                <w:sz w:val="19"/>
                <w:szCs w:val="19"/>
              </w:rPr>
              <w:t xml:space="preserve">wards</w:t>
            </w:r>
            <w:r>
              <w:rPr>
                <w:sz w:val="20"/>
                <w:szCs w:val="20"/>
              </w:rPr>
              <w:t xml:space="preserve">, </w:t>
            </w:r>
            <w:r>
              <w:rPr>
                <w:rFonts w:ascii="Consolas" w:cs="Consolas" w:eastAsia="Consolas" w:hAnsi="Consolas"/>
                <w:sz w:val="19"/>
                <w:szCs w:val="19"/>
              </w:rPr>
              <w:t xml:space="preserve">BedTransfer</w:t>
            </w:r>
            <w:r>
              <w:rPr>
                <w:sz w:val="20"/>
                <w:szCs w:val="20"/>
              </w:rPr>
              <w:t xml:space="preserve">, </w:t>
            </w:r>
            <w:r>
              <w:rPr>
                <w:rFonts w:ascii="Consolas" w:cs="Consolas" w:eastAsia="Consolas" w:hAnsi="Consolas"/>
                <w:sz w:val="19"/>
                <w:szCs w:val="19"/>
              </w:rPr>
              <w:t xml:space="preserve">AdmissionConsultant</w:t>
            </w:r>
          </w:p>
        </w:tc>
      </w:tr>
      <w:tr>
        <w:trPr>
          <w:tblHeader w:val="false"/>
        </w:trPr>
        <w:tc>
          <w:tcPr>
            <w:tcW w:type="dxa" w:w="4212"/>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Counselling Summary</w:t>
            </w:r>
          </w:p>
        </w:tc>
        <w:tc>
          <w:tcPr>
            <w:tcW w:type="dxa" w:w="5148"/>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counselling-actions data (estimates via </w:t>
            </w:r>
            <w:r>
              <w:rPr>
                <w:rFonts w:ascii="Consolas" w:cs="Consolas" w:eastAsia="Consolas" w:hAnsi="Consolas"/>
                <w:sz w:val="19"/>
                <w:szCs w:val="19"/>
              </w:rPr>
              <w:t xml:space="preserve">IpdEstimate</w:t>
            </w:r>
            <w:r>
              <w:rPr>
                <w:sz w:val="20"/>
                <w:szCs w:val="20"/>
              </w:rPr>
              <w:t xml:space="preserve">)</w:t>
            </w:r>
          </w:p>
        </w:tc>
      </w:tr>
    </w:tbl>
    <w:p>
      <w:pPr>
        <w:spacing w:after="120"/>
      </w:pPr>
    </w:p>
    <w:p>
      <w:pPr>
        <w:pStyle w:val="Heading2"/>
      </w:pPr>
      <w:r>
        <w:t xml:space="preserve">A.7 OT &amp; Cathlab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12"/>
        <w:gridCol w:w="5148"/>
      </w:tblGrid>
      <w:tr>
        <w:trPr>
          <w:tblHeader/>
        </w:trPr>
        <w:tc>
          <w:tcPr>
            <w:tcW w:type="dxa" w:w="4212"/>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0"/>
                <w:szCs w:val="20"/>
              </w:rPr>
              <w:t xml:space="preserve">Report</w:t>
            </w:r>
          </w:p>
        </w:tc>
        <w:tc>
          <w:tcPr>
            <w:tcW w:type="dxa" w:w="5148"/>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0"/>
                <w:szCs w:val="20"/>
              </w:rPr>
              <w:t xml:space="preserve">Primary sources</w:t>
            </w:r>
          </w:p>
        </w:tc>
      </w:tr>
      <w:tr>
        <w:trPr>
          <w:tblHeader w:val="false"/>
        </w:trPr>
        <w:tc>
          <w:tcPr>
            <w:tcW w:type="dxa" w:w="4212"/>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OT Booking Details; OT Surgery Details; OT Surgery TAT</w:t>
            </w:r>
          </w:p>
        </w:tc>
        <w:tc>
          <w:tcPr>
            <w:tcW w:type="dxa" w:w="5148"/>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Consolas" w:cs="Consolas" w:eastAsia="Consolas" w:hAnsi="Consolas"/>
                <w:sz w:val="19"/>
                <w:szCs w:val="19"/>
              </w:rPr>
              <w:t xml:space="preserve">OTSchedule</w:t>
            </w:r>
            <w:r>
              <w:rPr>
                <w:sz w:val="20"/>
                <w:szCs w:val="20"/>
              </w:rPr>
              <w:t xml:space="preserve">, </w:t>
            </w:r>
            <w:r>
              <w:rPr>
                <w:rFonts w:ascii="Consolas" w:cs="Consolas" w:eastAsia="Consolas" w:hAnsi="Consolas"/>
                <w:sz w:val="19"/>
                <w:szCs w:val="19"/>
              </w:rPr>
              <w:t xml:space="preserve">SurgeryRequest</w:t>
            </w:r>
            <w:r>
              <w:rPr>
                <w:sz w:val="20"/>
                <w:szCs w:val="20"/>
              </w:rPr>
              <w:t xml:space="preserve">, </w:t>
            </w:r>
            <w:r>
              <w:rPr>
                <w:rFonts w:ascii="Consolas" w:cs="Consolas" w:eastAsia="Consolas" w:hAnsi="Consolas"/>
                <w:sz w:val="19"/>
                <w:szCs w:val="19"/>
              </w:rPr>
              <w:t xml:space="preserve">SurgeryMaster</w:t>
            </w:r>
            <w:r>
              <w:rPr>
                <w:sz w:val="20"/>
                <w:szCs w:val="20"/>
              </w:rPr>
              <w:t xml:space="preserve">, </w:t>
            </w:r>
            <w:r>
              <w:rPr>
                <w:rFonts w:ascii="Consolas" w:cs="Consolas" w:eastAsia="Consolas" w:hAnsi="Consolas"/>
                <w:sz w:val="19"/>
                <w:szCs w:val="19"/>
              </w:rPr>
              <w:t xml:space="preserve">OTRoom</w:t>
            </w:r>
            <w:r>
              <w:rPr>
                <w:sz w:val="20"/>
                <w:szCs w:val="20"/>
              </w:rPr>
              <w:t xml:space="preserve">, </w:t>
            </w:r>
            <w:r>
              <w:rPr>
                <w:rFonts w:ascii="Consolas" w:cs="Consolas" w:eastAsia="Consolas" w:hAnsi="Consolas"/>
                <w:sz w:val="19"/>
                <w:szCs w:val="19"/>
              </w:rPr>
              <w:t xml:space="preserve">SurgeryNote</w:t>
            </w:r>
            <w:r>
              <w:rPr>
                <w:sz w:val="20"/>
                <w:szCs w:val="20"/>
              </w:rPr>
              <w:t xml:space="preserve"> (in/out/incision timestamps for TAT)</w:t>
            </w:r>
          </w:p>
        </w:tc>
      </w:tr>
    </w:tbl>
    <w:p>
      <w:pPr>
        <w:spacing w:after="120"/>
      </w:pPr>
    </w:p>
    <w:p>
      <w:pPr>
        <w:pStyle w:val="Heading2"/>
      </w:pPr>
      <w:r>
        <w:t xml:space="preserve">A.8 Inventory (16) — depends on Inventory PRD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12"/>
        <w:gridCol w:w="5148"/>
      </w:tblGrid>
      <w:tr>
        <w:trPr>
          <w:tblHeader/>
        </w:trPr>
        <w:tc>
          <w:tcPr>
            <w:tcW w:type="dxa" w:w="4212"/>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0"/>
                <w:szCs w:val="20"/>
              </w:rPr>
              <w:t xml:space="preserve">Report</w:t>
            </w:r>
          </w:p>
        </w:tc>
        <w:tc>
          <w:tcPr>
            <w:tcW w:type="dxa" w:w="5148"/>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0"/>
                <w:szCs w:val="20"/>
              </w:rPr>
              <w:t xml:space="preserve">Primary sources</w:t>
            </w:r>
          </w:p>
        </w:tc>
      </w:tr>
      <w:tr>
        <w:trPr>
          <w:tblHeader w:val="false"/>
        </w:trPr>
        <w:tc>
          <w:tcPr>
            <w:tcW w:type="dxa" w:w="4212"/>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Inventory Stock; Item Wise Stock; As on Date Stock; Batch wise stock inflow/outflow; Bin Card (Batch/Item wise)</w:t>
            </w:r>
          </w:p>
        </w:tc>
        <w:tc>
          <w:tcPr>
            <w:tcW w:type="dxa" w:w="5148"/>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Consolas" w:cs="Consolas" w:eastAsia="Consolas" w:hAnsi="Consolas"/>
                <w:sz w:val="19"/>
                <w:szCs w:val="19"/>
              </w:rPr>
              <w:t xml:space="preserve">StoreStock</w:t>
            </w:r>
            <w:r>
              <w:rPr>
                <w:sz w:val="20"/>
                <w:szCs w:val="20"/>
              </w:rPr>
              <w:t xml:space="preserve">, </w:t>
            </w:r>
            <w:r>
              <w:rPr>
                <w:rFonts w:ascii="Consolas" w:cs="Consolas" w:eastAsia="Consolas" w:hAnsi="Consolas"/>
                <w:sz w:val="19"/>
                <w:szCs w:val="19"/>
              </w:rPr>
              <w:t xml:space="preserve">ItemBatch</w:t>
            </w:r>
            <w:r>
              <w:rPr>
                <w:sz w:val="20"/>
                <w:szCs w:val="20"/>
              </w:rPr>
              <w:t xml:space="preserve">, </w:t>
            </w:r>
            <w:r>
              <w:rPr>
                <w:rFonts w:ascii="Consolas" w:cs="Consolas" w:eastAsia="Consolas" w:hAnsi="Consolas"/>
                <w:sz w:val="19"/>
                <w:szCs w:val="19"/>
              </w:rPr>
              <w:t xml:space="preserve">InventoryMovement</w:t>
            </w:r>
            <w:r>
              <w:rPr>
                <w:sz w:val="20"/>
                <w:szCs w:val="20"/>
              </w:rPr>
              <w:t xml:space="preserve"> (as-on-date = ledger replay)</w:t>
            </w:r>
          </w:p>
        </w:tc>
      </w:tr>
      <w:tr>
        <w:trPr>
          <w:tblHeader w:val="false"/>
        </w:trPr>
        <w:tc>
          <w:tcPr>
            <w:tcW w:type="dxa" w:w="4212"/>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GRN Summary / Detail; GRN Return Summary / Detail; GRN Pending CN Number Update</w:t>
            </w:r>
          </w:p>
        </w:tc>
        <w:tc>
          <w:tcPr>
            <w:tcW w:type="dxa" w:w="5148"/>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Consolas" w:cs="Consolas" w:eastAsia="Consolas" w:hAnsi="Consolas"/>
                <w:sz w:val="19"/>
                <w:szCs w:val="19"/>
              </w:rPr>
              <w:t xml:space="preserve">GoodsReceiptNote</w:t>
            </w:r>
            <w:r>
              <w:rPr>
                <w:sz w:val="20"/>
                <w:szCs w:val="20"/>
              </w:rPr>
              <w:t xml:space="preserve"> (+ items), </w:t>
            </w:r>
            <w:r>
              <w:rPr>
                <w:rFonts w:ascii="Consolas" w:cs="Consolas" w:eastAsia="Consolas" w:hAnsi="Consolas"/>
                <w:sz w:val="19"/>
                <w:szCs w:val="19"/>
              </w:rPr>
              <w:t xml:space="preserve">PharmacyReturn</w:t>
            </w:r>
            <w:r>
              <w:rPr>
                <w:sz w:val="20"/>
                <w:szCs w:val="20"/>
              </w:rPr>
              <w:t xml:space="preserve"> (supplier returns / debit-credit notes), </w:t>
            </w:r>
            <w:r>
              <w:rPr>
                <w:rFonts w:ascii="Consolas" w:cs="Consolas" w:eastAsia="Consolas" w:hAnsi="Consolas"/>
                <w:sz w:val="19"/>
                <w:szCs w:val="19"/>
              </w:rPr>
              <w:t xml:space="preserve">PurchaseOrder</w:t>
            </w:r>
          </w:p>
        </w:tc>
      </w:tr>
      <w:tr>
        <w:trPr>
          <w:tblHeader w:val="false"/>
        </w:trPr>
        <w:tc>
          <w:tcPr>
            <w:tcW w:type="dxa" w:w="4212"/>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Item Master; Store to Store Item Issue; Store Consumption Report; Slow &amp; Fast Moving; HSN Tax Summary</w:t>
            </w:r>
          </w:p>
        </w:tc>
        <w:tc>
          <w:tcPr>
            <w:tcW w:type="dxa" w:w="5148"/>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Consolas" w:cs="Consolas" w:eastAsia="Consolas" w:hAnsi="Consolas"/>
                <w:sz w:val="19"/>
                <w:szCs w:val="19"/>
              </w:rPr>
              <w:t xml:space="preserve">ItemMaster</w:t>
            </w:r>
            <w:r>
              <w:rPr>
                <w:sz w:val="20"/>
                <w:szCs w:val="20"/>
              </w:rPr>
              <w:t xml:space="preserve">, </w:t>
            </w:r>
            <w:r>
              <w:rPr>
                <w:rFonts w:ascii="Consolas" w:cs="Consolas" w:eastAsia="Consolas" w:hAnsi="Consolas"/>
                <w:sz w:val="19"/>
                <w:szCs w:val="19"/>
              </w:rPr>
              <w:t xml:space="preserve">StockTransfer</w:t>
            </w:r>
            <w:r>
              <w:rPr>
                <w:sz w:val="20"/>
                <w:szCs w:val="20"/>
              </w:rPr>
              <w:t xml:space="preserve">, </w:t>
            </w:r>
            <w:r>
              <w:rPr>
                <w:rFonts w:ascii="Consolas" w:cs="Consolas" w:eastAsia="Consolas" w:hAnsi="Consolas"/>
                <w:sz w:val="19"/>
                <w:szCs w:val="19"/>
              </w:rPr>
              <w:t xml:space="preserve">InventoryMovement</w:t>
            </w:r>
            <w:r>
              <w:rPr>
                <w:sz w:val="20"/>
                <w:szCs w:val="20"/>
              </w:rPr>
              <w:t xml:space="preserve"> (CONSUMPTION), movement velocity analytics, HSN fields</w:t>
            </w:r>
          </w:p>
        </w:tc>
      </w:tr>
    </w:tbl>
    <w:p>
      <w:pPr>
        <w:spacing w:after="120"/>
      </w:pPr>
    </w:p>
    <w:p>
      <w:pPr>
        <w:pStyle w:val="Heading2"/>
      </w:pPr>
      <w:r>
        <w:t xml:space="preserve">A.9 Ambulance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12"/>
        <w:gridCol w:w="5148"/>
      </w:tblGrid>
      <w:tr>
        <w:trPr>
          <w:tblHeader/>
        </w:trPr>
        <w:tc>
          <w:tcPr>
            <w:tcW w:type="dxa" w:w="4212"/>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0"/>
                <w:szCs w:val="20"/>
              </w:rPr>
              <w:t xml:space="preserve">Report</w:t>
            </w:r>
          </w:p>
        </w:tc>
        <w:tc>
          <w:tcPr>
            <w:tcW w:type="dxa" w:w="5148"/>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0"/>
                <w:szCs w:val="20"/>
              </w:rPr>
              <w:t xml:space="preserve">Primary sources</w:t>
            </w:r>
          </w:p>
        </w:tc>
      </w:tr>
      <w:tr>
        <w:trPr>
          <w:tblHeader w:val="false"/>
        </w:trPr>
        <w:tc>
          <w:tcPr>
            <w:tcW w:type="dxa" w:w="4212"/>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Ambulance Orders; Ambulance Request; Ambulance TAT</w:t>
            </w:r>
          </w:p>
        </w:tc>
        <w:tc>
          <w:tcPr>
            <w:tcW w:type="dxa" w:w="5148"/>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patient ambulance requests (</w:t>
            </w:r>
            <w:r>
              <w:rPr>
                <w:rFonts w:ascii="Consolas" w:cs="Consolas" w:eastAsia="Consolas" w:hAnsi="Consolas"/>
                <w:sz w:val="19"/>
                <w:szCs w:val="19"/>
              </w:rPr>
              <w:t xml:space="preserve">app/api/patient/ambulance-request</w:t>
            </w:r>
            <w:r>
              <w:rPr>
                <w:sz w:val="20"/>
                <w:szCs w:val="20"/>
              </w:rPr>
              <w:t xml:space="preserve"> data); TAT requires dispatch/arrival timestamps — gap flagged to module owner</w:t>
            </w:r>
          </w:p>
        </w:tc>
      </w:tr>
    </w:tbl>
    <w:p>
      <w:pPr>
        <w:spacing w:after="120"/>
      </w:pPr>
    </w:p>
    <w:p>
      <w:pPr>
        <w:pStyle w:val="Heading2"/>
      </w:pPr>
      <w:r>
        <w:t xml:space="preserve">A.10 Optical (5) — behind ModuleConfig flag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12"/>
        <w:gridCol w:w="5148"/>
      </w:tblGrid>
      <w:tr>
        <w:trPr>
          <w:tblHeader/>
        </w:trPr>
        <w:tc>
          <w:tcPr>
            <w:tcW w:type="dxa" w:w="4212"/>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0"/>
                <w:szCs w:val="20"/>
              </w:rPr>
              <w:t xml:space="preserve">Report</w:t>
            </w:r>
          </w:p>
        </w:tc>
        <w:tc>
          <w:tcPr>
            <w:tcW w:type="dxa" w:w="5148"/>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0"/>
                <w:szCs w:val="20"/>
              </w:rPr>
              <w:t xml:space="preserve">Primary sources</w:t>
            </w:r>
          </w:p>
        </w:tc>
      </w:tr>
      <w:tr>
        <w:trPr>
          <w:tblHeader w:val="false"/>
        </w:trPr>
        <w:tc>
          <w:tcPr>
            <w:tcW w:type="dxa" w:w="4212"/>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Optical Item / Product Billing Details; Daily Settlement (+ Sum); Payment Report</w:t>
            </w:r>
          </w:p>
        </w:tc>
        <w:tc>
          <w:tcPr>
            <w:tcW w:type="dxa" w:w="5148"/>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No Optical module exists in HospitalOS today; reports ship disabled until the module exists (risk register); definitions stubbed against invoice_items service categories if client runs optical through general billing</w:t>
            </w:r>
          </w:p>
        </w:tc>
      </w:tr>
    </w:tbl>
    <w:p>
      <w:pPr>
        <w:spacing w:after="120"/>
      </w:pPr>
    </w:p>
    <w:p>
      <w:pPr>
        <w:pStyle w:val="Heading2"/>
      </w:pPr>
      <w:r>
        <w:t xml:space="preserve">A.11 Revenue (6)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12"/>
        <w:gridCol w:w="5148"/>
      </w:tblGrid>
      <w:tr>
        <w:trPr>
          <w:tblHeader/>
        </w:trPr>
        <w:tc>
          <w:tcPr>
            <w:tcW w:type="dxa" w:w="4212"/>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0"/>
                <w:szCs w:val="20"/>
              </w:rPr>
              <w:t xml:space="preserve">Report</w:t>
            </w:r>
          </w:p>
        </w:tc>
        <w:tc>
          <w:tcPr>
            <w:tcW w:type="dxa" w:w="5148"/>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0"/>
                <w:szCs w:val="20"/>
              </w:rPr>
              <w:t xml:space="preserve">Primary sources</w:t>
            </w:r>
          </w:p>
        </w:tc>
      </w:tr>
      <w:tr>
        <w:trPr>
          <w:tblHeader w:val="false"/>
        </w:trPr>
        <w:tc>
          <w:tcPr>
            <w:tcW w:type="dxa" w:w="4212"/>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Department Wise; Payer Type Wise; Payer Name Wise; Service Type Wise; Billing Category Wise; Ward Wise</w:t>
            </w:r>
          </w:p>
        </w:tc>
        <w:tc>
          <w:tcPr>
            <w:tcW w:type="dxa" w:w="5148"/>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Revenue rollups over </w:t>
            </w:r>
            <w:r>
              <w:rPr>
                <w:rFonts w:ascii="Consolas" w:cs="Consolas" w:eastAsia="Consolas" w:hAnsi="Consolas"/>
                <w:sz w:val="19"/>
                <w:szCs w:val="19"/>
              </w:rPr>
              <w:t xml:space="preserve">invoices</w:t>
            </w:r>
            <w:r>
              <w:rPr>
                <w:sz w:val="20"/>
                <w:szCs w:val="20"/>
              </w:rPr>
              <w:t xml:space="preserve">/</w:t>
            </w:r>
            <w:r>
              <w:rPr>
                <w:rFonts w:ascii="Consolas" w:cs="Consolas" w:eastAsia="Consolas" w:hAnsi="Consolas"/>
                <w:sz w:val="19"/>
                <w:szCs w:val="19"/>
              </w:rPr>
              <w:t xml:space="preserve">invoice_items</w:t>
            </w:r>
            <w:r>
              <w:rPr>
                <w:sz w:val="20"/>
                <w:szCs w:val="20"/>
              </w:rPr>
              <w:t xml:space="preserve">/</w:t>
            </w:r>
            <w:r>
              <w:rPr>
                <w:rFonts w:ascii="Consolas" w:cs="Consolas" w:eastAsia="Consolas" w:hAnsi="Consolas"/>
                <w:sz w:val="19"/>
                <w:szCs w:val="19"/>
              </w:rPr>
              <w:t xml:space="preserve">payments</w:t>
            </w:r>
            <w:r>
              <w:rPr>
                <w:sz w:val="20"/>
                <w:szCs w:val="20"/>
              </w:rPr>
              <w:t xml:space="preserve"> joined to </w:t>
            </w:r>
            <w:r>
              <w:rPr>
                <w:rFonts w:ascii="Consolas" w:cs="Consolas" w:eastAsia="Consolas" w:hAnsi="Consolas"/>
                <w:sz w:val="19"/>
                <w:szCs w:val="19"/>
              </w:rPr>
              <w:t xml:space="preserve">Department</w:t>
            </w:r>
            <w:r>
              <w:rPr>
                <w:sz w:val="20"/>
                <w:szCs w:val="20"/>
              </w:rPr>
              <w:t xml:space="preserve">, payer masters, </w:t>
            </w:r>
            <w:r>
              <w:rPr>
                <w:rFonts w:ascii="Consolas" w:cs="Consolas" w:eastAsia="Consolas" w:hAnsi="Consolas"/>
                <w:sz w:val="19"/>
                <w:szCs w:val="19"/>
              </w:rPr>
              <w:t xml:space="preserve">charge_catalog</w:t>
            </w:r>
            <w:r>
              <w:rPr>
                <w:sz w:val="20"/>
                <w:szCs w:val="20"/>
              </w:rPr>
              <w:t xml:space="preserve">, </w:t>
            </w:r>
            <w:r>
              <w:rPr>
                <w:rFonts w:ascii="Consolas" w:cs="Consolas" w:eastAsia="Consolas" w:hAnsi="Consolas"/>
                <w:sz w:val="19"/>
                <w:szCs w:val="19"/>
              </w:rPr>
              <w:t xml:space="preserve">wards</w:t>
            </w:r>
            <w:r>
              <w:rPr>
                <w:sz w:val="20"/>
                <w:szCs w:val="20"/>
              </w:rPr>
              <w:t xml:space="preserve">; billed vs collected toggle on every revenue report</w:t>
            </w:r>
          </w:p>
        </w:tc>
      </w:tr>
    </w:tbl>
    <w:p>
      <w:pPr>
        <w:spacing w:after="12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Confidential — Internal  |  Page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HospitalOS — MIS Reports Module PRD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270"/>
      </w:pPr>
    </w:lvl>
  </w:abstractNum>
  <w:abstractNum w:abstractNumId="4"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2E5395"/>
      <w:sz w:val="25"/>
      <w:szCs w:val="25"/>
    </w:rPr>
  </w:style>
  <w:style w:type="paragraph" w:styleId="Heading3">
    <w:name w:val="Heading 3"/>
    <w:basedOn w:val="Normal"/>
    <w:next w:val="Normal"/>
    <w:qFormat/>
    <w:pPr>
      <w:spacing w:after="100" w:before="18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2026-06-11T15:38:43.557Z</dcterms:created>
  <dcterms:modified xsi:type="dcterms:W3CDTF">2026-06-11T15:38:43.560Z</dcterms:modified>
</cp:coreProperties>
</file>

<file path=docProps/custom.xml><?xml version="1.0" encoding="utf-8"?>
<Properties xmlns="http://schemas.openxmlformats.org/officeDocument/2006/custom-properties" xmlns:vt="http://schemas.openxmlformats.org/officeDocument/2006/docPropsVTypes"/>
</file>