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56"/>
          <w:szCs w:val="56"/>
        </w:rPr>
        <w:t xml:space="preserve">TPA &amp; Insurance Module</w:t>
      </w:r>
    </w:p>
    <w:p>
      <w:pPr>
        <w:spacing w:after="480"/>
        <w:jc w:val="center"/>
      </w:pPr>
      <w:r>
        <w:rPr>
          <w:color w:val="595959"/>
          <w:sz w:val="28"/>
          <w:szCs w:val="28"/>
        </w:rPr>
        <w:t xml:space="preserve">Finance Portal — Gap Analysis &amp; Product Requirements Document</w:t>
      </w:r>
    </w:p>
    <w:p>
      <w:pPr>
        <w:pBdr>
          <w:bottom w:val="single" w:color="1F3864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(Draft for team kickoff)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22, 2026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Parikshit Kaushal (Team Lead — Agentic AI &amp; Web Development)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Finance/RCM engineering team, Billing &amp; IPD module owners, QA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Benchmark reference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MEDNET Insurance Receipt portal (client-shared screens): Insurance Receipts, Cover Letter, Ins. Outstanding (aging), Claims Report, Bill Wise Sanction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TPA/insurance lifecycle — eligibility &amp; pre-auth → claim submission → cover letter → sanction → receipts → short-pay/denial/resubmission → aging/outstanding → GL receivables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PRD v1.0, HR &amp; Payroll PRD v1.0, MIS Reports PRD v1.0, FINANCE_PLAN.md</w:t>
            </w:r>
          </w:p>
        </w:tc>
      </w:tr>
    </w:tbl>
    <w:p>
      <w:pPr>
        <w:spacing w:after="12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For a hospital, TPA &amp; insurance receivables are typically the single largest and slowest-moving part of the balance sheet — the benchmark screens show a single unit carrying ₹1.25 crore outstanding, with ₹1.24 crore of it aged above 60 days. HospitalOS already has a genuinely strong foundation here: payer-typed invoices, a pre-auth model, a claims model, payment splits, optimistic-locked TPA settlement, and GL posting that separates cash/corporate/TPA receivables into distinct control accounts. What it lacks is the finance-desk cockpit that turns those tables into a managed receivables operation: a dedicated TPA &amp; Insurance workspace in the finance portal with eligibility, a cover-letter/dispatch trail, sanction capture, receipt reconciliation, short-pay and denial handling with resubmission, and — most importantly — aging/outstanding visibility backed by the GL.</w:t>
      </w:r>
    </w:p>
    <w:p>
      <w:pPr>
        <w:spacing w:after="120"/>
      </w:pPr>
      <w:r>
        <w:t xml:space="preserve">This document does two things. Section 2 is a precise gap analysis of the current codebase against the benchmark and against a full revenue-cycle (RCM) workflow. Sections 3 onward are the PRD for the upgraded module: the finance-portal information architecture, every functional capability, the data-model deltas (mostly additive to existing models), the GL/receivables contract, APIs, acceptance criteria and phasing. The guiding principle is the same as our other modules — extend what exists (</w:t>
      </w:r>
      <w:r>
        <w:rPr>
          <w:rFonts w:ascii="Consolas" w:cs="Consolas" w:eastAsia="Consolas" w:hAnsi="Consolas"/>
          <w:sz w:val="19"/>
          <w:szCs w:val="19"/>
        </w:rPr>
        <w:t xml:space="preserve">insurance_providers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insurance_policies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insurance_claims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InsurancePreAuth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PaymentSplit</w:t>
      </w:r>
      <w:r>
        <w:t xml:space="preserve">, invoice TPA fields, </w:t>
      </w:r>
      <w:r>
        <w:rPr>
          <w:rFonts w:ascii="Consolas" w:cs="Consolas" w:eastAsia="Consolas" w:hAnsi="Consolas"/>
          <w:sz w:val="19"/>
          <w:szCs w:val="19"/>
        </w:rPr>
        <w:t xml:space="preserve">gl-actions.ts</w:t>
      </w:r>
      <w:r>
        <w:t xml:space="preserve">), do not rebuild it.</w:t>
      </w:r>
    </w:p>
    <w:p>
      <w:pPr>
        <w:pStyle w:val="Heading1"/>
      </w:pPr>
      <w:r>
        <w:t xml:space="preserve">2. Gap Analysis — Current State vs Benchmark</w:t>
      </w:r>
    </w:p>
    <w:p>
      <w:pPr>
        <w:pStyle w:val="Heading2"/>
      </w:pPr>
      <w:r>
        <w:t xml:space="preserve">2.1 What already exists (strong foundation)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931"/>
        <w:gridCol w:w="2246"/>
      </w:tblGrid>
      <w:tr>
        <w:trPr>
          <w:tblHeader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 today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Payer masters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insurance_providers</w:t>
            </w:r>
            <w:r>
              <w:rPr>
                <w:sz w:val="20"/>
                <w:szCs w:val="20"/>
              </w:rPr>
              <w:t xml:space="preserve"> (tpa_type, pre_auth_required, payment_terms_days, default_discount %),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CorporateMaster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Solid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policies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insurance_policies</w:t>
            </w:r>
            <w:r>
              <w:rPr>
                <w:sz w:val="20"/>
                <w:szCs w:val="20"/>
              </w:rPr>
              <w:t xml:space="preserve"> (policy_number, coverage_limit, remaining_limit, validity)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Solid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Pre-authorization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InsurancePreAuth</w:t>
            </w:r>
            <w:r>
              <w:rPr>
                <w:sz w:val="20"/>
                <w:szCs w:val="20"/>
              </w:rPr>
              <w:t xml:space="preserve"> (requested/approved amount, status, queries Json, enhancement_history Json)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insurance_claims</w:t>
            </w:r>
            <w:r>
              <w:rPr>
                <w:sz w:val="20"/>
                <w:szCs w:val="20"/>
              </w:rPr>
              <w:t xml:space="preserve"> (claimed/approved/rejected/settled, status, tds_amount)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Payer-split billing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billing_patient_type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patient_payable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corporate_payable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tpa_payable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PaymentSplit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Solid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TPA settlement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recordTpaPaymentReceived</w:t>
            </w:r>
            <w:r>
              <w:rPr>
                <w:sz w:val="20"/>
                <w:szCs w:val="20"/>
              </w:rPr>
              <w:t xml:space="preserve"> — optimistic lock, partial settlement, audit snapshots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 receivables split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postInvoiceToGL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postPaymentToGL</w:t>
            </w:r>
            <w:r>
              <w:rPr>
                <w:sz w:val="20"/>
                <w:szCs w:val="20"/>
              </w:rPr>
              <w:t xml:space="preserve"> — cash 1130 / corporate 1140 / TPA 1150 + bill-wise (Agst Ref)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Solid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 analytics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getProviderPerformance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getRevenueLeakage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getCorporateOutstandingFull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getInsuranceStats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Gaps vs the benchmark screens &amp; full RCM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4306"/>
        <w:gridCol w:w="2621"/>
      </w:tblGrid>
      <w:tr>
        <w:trPr>
          <w:tblHeader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 / RCM need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in HospitalOS today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 Outstanding (aging buckets, Below/Above N days, opening, unmapped receipt, balance, TOTAL)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aging engine. Outstanding is a flat sum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getCorporateOutstandingFull</w:t>
            </w:r>
            <w:r>
              <w:rPr>
                <w:sz w:val="20"/>
                <w:szCs w:val="20"/>
              </w:rPr>
              <w:t xml:space="preserve">); no day-bucketing, no opening carry, no “unmapped receipt”, no payer-wise aging report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 Receipts (receipts per payer, total receipts, pending advices, RECEIPT action)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Settlement exists at invoice level but there is no payer-level receipt document grouping multiple bills, no “pending advice” concept, no receipt register UI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 Wise Sanction (claim amt vs sanctioned vs paid, per bill)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Sanctioned vs claimed vs settled lives across fields but there is no bill-wise sanction view reconciling claim → sanction → receipt → short-pay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 Letter (claim dispatch document + log)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cover-letter generation, no submission/dispatch register, no courier/portal acknowledgement tracking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 Report (per payer, date range, Insurance Claim / Billed / Unbilled toggle, export)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getInsuranceClaims</w:t>
            </w:r>
            <w:r>
              <w:rPr>
                <w:sz w:val="20"/>
                <w:szCs w:val="20"/>
              </w:rPr>
              <w:t xml:space="preserve"> but no unified billed/unbilled filter, no payer+date cockpit, no Excel download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Short-payment / disallowance handling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is_partial</w:t>
            </w:r>
            <w:r>
              <w:rPr>
                <w:sz w:val="20"/>
                <w:szCs w:val="20"/>
              </w:rPr>
              <w:t xml:space="preserve"> flag and partially_settled status exist, but no disallowance reason capture, no variance (approved − settled) ledger, no write-off vs recover decision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Denial &amp; resubmission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disputeClaim</w:t>
            </w:r>
            <w:r>
              <w:rPr>
                <w:sz w:val="20"/>
                <w:szCs w:val="20"/>
              </w:rPr>
              <w:t xml:space="preserve"> and Rejected status exist, but no denial reason taxonomy, no resubmission cycle/count, no appeal trail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preAuthorization action/model mismatch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insurance-corporate-actions.ts</w:t>
            </w:r>
            <w:r>
              <w:rPr>
                <w:sz w:val="20"/>
                <w:szCs w:val="20"/>
              </w:rPr>
              <w:t xml:space="preserve"> calls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preAuthorization</w:t>
            </w:r>
            <w:r>
              <w:rPr>
                <w:sz w:val="20"/>
                <w:szCs w:val="20"/>
              </w:rPr>
              <w:t xml:space="preserve"> model that does not exist in schema (only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InsurancePreAuth</w:t>
            </w:r>
            <w:r>
              <w:rPr>
                <w:sz w:val="20"/>
                <w:szCs w:val="20"/>
              </w:rPr>
              <w:t xml:space="preserve"> does) — latent bug / dead path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Eligibility / e-verification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Zealthix is simulation-only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lookupInsuranceByPhone</w:t>
            </w:r>
            <w:r>
              <w:rPr>
                <w:sz w:val="20"/>
                <w:szCs w:val="20"/>
              </w:rPr>
              <w:t xml:space="preserve"> hardcodes a test phone); no real-time eligibility, no e-card capture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Dedicated finance-portal IA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 lives in reception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app/reception/finance/tpa-insurance</w:t>
            </w:r>
            <w:r>
              <w:rPr>
                <w:sz w:val="20"/>
                <w:szCs w:val="20"/>
              </w:rPr>
              <w:t xml:space="preserve">), not as a finance cockpit; admin finance is thin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Copay / co-payment / deduction model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Deductions are folded into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patient_payable</w:t>
            </w:r>
            <w:r>
              <w:rPr>
                <w:sz w:val="20"/>
                <w:szCs w:val="20"/>
              </w:rPr>
              <w:t xml:space="preserve">; no explicit copay %, no excess/non-medical split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/ TAT &amp; follow-up tasks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payment-terms SLA clock, no auto follow-up task on query/denial/ageing breach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TDS on settlement</w:t>
            </w:r>
          </w:p>
        </w:tc>
        <w:tc>
          <w:tcPr>
            <w:tcW w:type="dxa" w:w="4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tds_amount</w:t>
            </w:r>
            <w:r>
              <w:rPr>
                <w:sz w:val="20"/>
                <w:szCs w:val="20"/>
              </w:rPr>
              <w:t xml:space="preserve"> field exists but no posting/recovery logic to a TDS-receivable account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Headline conclusion: </w:t>
      </w:r>
      <w:r>
        <w:t xml:space="preserve">the transactional spine is healthy; the gaps are the management layer — aging, receipts/advice reconciliation, sanction/short-pay tracking, dispatch documentation, and a finance-portal cockpit. That is exactly what makes a TPA desk “production grade,” and it is mostly additive work on top of solid models.</w:t>
      </w:r>
    </w:p>
    <w:p>
      <w:pPr>
        <w:pStyle w:val="Heading1"/>
      </w:pPr>
      <w:r>
        <w:t xml:space="preserve">3. Goals, Non-Goals and Success Metrics</w:t>
      </w: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dedicated TPA &amp; Insurance cockpit in the finance portal that surfaces, in one place, everything a hospital insurance desk manages: pre-auths, claims, dispatch, sanctions, receipts, short-pays, denials, and aged outstanding.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real receivables aging engine (payer-wise, bill-wise, configurable buckets) that reconciles exactly to the GL TPA/corporate receivable control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receipts &amp; advice workflow: record a payer remittance once, allocate it across many bills, capture disallowances, and auto-update claim/invoice/GL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claim lifecycle with denial taxonomy, resubmission cycles, appeals, and cover-letter generation + dispatch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SLA-driven operations: payment-terms clocks, ageing-breach and query follow-up tasks, and a desk dashboard that tells the team what to chase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Tighten correctness: fix the preAuthorization model/action mismatch, add copay/TDS handling, and keep every money movement GL-posted and auditable.</w:t>
      </w:r>
    </w:p>
    <w:p>
      <w:pPr>
        <w:pStyle w:val="Heading2"/>
      </w:pPr>
      <w:r>
        <w:t xml:space="preserve">3.2 Non-goals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Building a national clearinghouse / real EDI to every insurer — we integrate via Zealthix and structured exports; direct insurer EDI is a later track.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Replacing the billing engine or the GL — this module consumes and posts to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Patient-facing claim status portal (a later enhancement once the desk side is solid).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medical coding / ICD-procedure suggestion (out of scope; codes are captured, not generated).</w:t>
      </w:r>
    </w:p>
    <w:p>
      <w:pPr>
        <w:pStyle w:val="Heading2"/>
      </w:pPr>
      <w:r>
        <w:t xml:space="preserve">3.3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7"/>
        <w:gridCol w:w="2153"/>
        <w:gridCol w:w="2340"/>
      </w:tblGrid>
      <w:tr>
        <w:trPr>
          <w:tblHeader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rPr>
          <w:tblHeader w:val="false"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Sales Outstanding (TPA/insurance)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measured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↓ 25%</w:t>
            </w:r>
          </w:p>
        </w:tc>
      </w:tr>
      <w:tr>
        <w:trPr>
          <w:tblHeader w:val="false"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receivables aged &gt; 60 days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(benchmark ~99%)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55%</w:t>
            </w:r>
          </w:p>
        </w:tc>
      </w:tr>
      <w:tr>
        <w:trPr>
          <w:tblHeader w:val="false"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Unbilled-but-eligible claims leakage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getRevenueLeakage</w:t>
            </w:r>
            <w:r>
              <w:rPr>
                <w:sz w:val="20"/>
                <w:szCs w:val="20"/>
              </w:rPr>
              <w:t xml:space="preserve"> only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open &gt; 7 days</w:t>
            </w:r>
          </w:p>
        </w:tc>
      </w:tr>
      <w:tr>
        <w:trPr>
          <w:tblHeader w:val="false"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 short-pay recovered vs written-off (tracked)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dispositioned</w:t>
            </w:r>
          </w:p>
        </w:tc>
      </w:tr>
      <w:tr>
        <w:trPr>
          <w:tblHeader w:val="false"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Receivables subledger vs GL control variance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at period close</w:t>
            </w:r>
          </w:p>
        </w:tc>
      </w:tr>
      <w:tr>
        <w:trPr>
          <w:tblHeader w:val="false"/>
        </w:trPr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claim submission TAT (discharge → dispatch)</w:t>
            </w:r>
          </w:p>
        </w:tc>
        <w:tc>
          <w:tcPr>
            <w:tcW w:type="dxa" w:w="2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48 hours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Finance Portal — Information Architecture</w:t>
      </w:r>
    </w:p>
    <w:p>
      <w:pPr>
        <w:spacing w:after="120"/>
      </w:pPr>
      <w:r>
        <w:t xml:space="preserve">New cockpit at </w:t>
      </w:r>
      <w:r>
        <w:rPr>
          <w:rFonts w:ascii="Consolas" w:cs="Consolas" w:eastAsia="Consolas" w:hAnsi="Consolas"/>
          <w:sz w:val="19"/>
          <w:szCs w:val="19"/>
        </w:rPr>
        <w:t xml:space="preserve">app/admin/finance/tpa-insurance/</w:t>
      </w:r>
      <w:r>
        <w:t xml:space="preserve"> (and surfaced in the finance nav), with the reception screen kept for front-desk capture. The cockpit opens on a desk dashboard and exposes these sections — deliberately mirroring and then exceeding the benchmark’s left-nav (Insurance Receipts, Cover Letter, Ins. Outstanding, Claims Report, Bill Wise Sanction):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 Dashboard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KPIs: total outstanding, aged &gt; N days, sanctioned-unpaid, denials to action, queries pending, today’s follow-ups, submission backlog. Payer-wise heat list.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Pre-Auth Tracker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pre-auths with status, requested/approved, query clock, enhancement history; raise/respond/enhance.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 Workbench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claim with lifecycle status, payer, bill, claimed/sanctioned/received/short-pay; bulk submit, filters, export (the upgraded “Claims Report”).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 Letter &amp; Dispatch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per-claim or batch cover letters, attach bill/docs, record dispatch mode + acknowledgement (the “Cover Letter” screen).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Receipts &amp; Advice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payer remittance/advice, allocate across bills, capture disallowances/TDS (the “Insurance Receipts” screen, done properly).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Bill-Wise Sanction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Per-bill reconciliation: claim amt → sanctioned → received → short-pay → status (the “Bill Wise Sanction” screen).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Outstanding &amp; Aging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Payer-wise and bill-wise aging with configurable buckets, opening, unmapped receipts, balance, totals; print/export (the “Ins. Outstanding” screen).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Payer Masters &amp; SLA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providers/corporates, tariffs/discount, payment terms, denial reason library, document checklists.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Eligibility &amp; Policy Capture (FR-TPA-01)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Capture/verify policy at registration or admission against </w:t>
      </w:r>
      <w:r>
        <w:rPr>
          <w:rFonts w:ascii="Consolas" w:cs="Consolas" w:eastAsia="Consolas" w:hAnsi="Consolas"/>
          <w:sz w:val="19"/>
          <w:szCs w:val="19"/>
        </w:rPr>
        <w:t xml:space="preserve">insurance_policies</w:t>
      </w:r>
      <w:r>
        <w:t xml:space="preserve">; show coverage_limit, remaining_limit, validity, exclusions from </w:t>
      </w:r>
      <w:r>
        <w:rPr>
          <w:rFonts w:ascii="Consolas" w:cs="Consolas" w:eastAsia="Consolas" w:hAnsi="Consolas"/>
          <w:sz w:val="19"/>
          <w:szCs w:val="19"/>
        </w:rPr>
        <w:t xml:space="preserve">insurance_providers.excluded_services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the Zealthix simulation in </w:t>
      </w:r>
      <w:r>
        <w:rPr>
          <w:rFonts w:ascii="Consolas" w:cs="Consolas" w:eastAsia="Consolas" w:hAnsi="Consolas"/>
          <w:sz w:val="19"/>
          <w:szCs w:val="19"/>
        </w:rPr>
        <w:t xml:space="preserve">lookupInsuranceByPhone</w:t>
      </w:r>
      <w:r>
        <w:t xml:space="preserve"> with a real eligibility call behind a feature flag; on success, persist e-card/member details and an eligibility snapshot (Json) on the policy; graceful manual fallback when the integration is off.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policy documents (e-card, ID) via the existing S3 upload flow.</w:t>
      </w:r>
    </w:p>
    <w:p>
      <w:pPr>
        <w:pStyle w:val="Heading2"/>
      </w:pPr>
      <w:r>
        <w:t xml:space="preserve">5.2 Pre-Authorization (FR-TPA-02)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the latent bug first: </w:t>
      </w:r>
      <w:r>
        <w:rPr>
          <w:rFonts w:ascii="Consolas" w:cs="Consolas" w:eastAsia="Consolas" w:hAnsi="Consolas"/>
          <w:sz w:val="19"/>
          <w:szCs w:val="19"/>
        </w:rPr>
        <w:t xml:space="preserve">insurance-corporate-actions.ts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getAllPreAuthorizations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createPreAuthAction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updatePreAuthAction</w:t>
      </w:r>
      <w:r>
        <w:t xml:space="preserve">) references a non-existent </w:t>
      </w:r>
      <w:r>
        <w:rPr>
          <w:rFonts w:ascii="Consolas" w:cs="Consolas" w:eastAsia="Consolas" w:hAnsi="Consolas"/>
          <w:sz w:val="19"/>
          <w:szCs w:val="19"/>
        </w:rPr>
        <w:t xml:space="preserve">preAuthorization</w:t>
      </w:r>
      <w:r>
        <w:t xml:space="preserve"> model — repoint all of it to the real </w:t>
      </w:r>
      <w:r>
        <w:rPr>
          <w:rFonts w:ascii="Consolas" w:cs="Consolas" w:eastAsia="Consolas" w:hAnsi="Consolas"/>
          <w:sz w:val="19"/>
          <w:szCs w:val="19"/>
        </w:rPr>
        <w:t xml:space="preserve">InsurancePreAuth</w:t>
      </w:r>
      <w:r>
        <w:t xml:space="preserve">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Planned vs Emergency submission (</w:t>
      </w:r>
      <w:r>
        <w:rPr>
          <w:rFonts w:ascii="Consolas" w:cs="Consolas" w:eastAsia="Consolas" w:hAnsi="Consolas"/>
          <w:sz w:val="19"/>
          <w:szCs w:val="19"/>
        </w:rPr>
        <w:t xml:space="preserve">submission_type</w:t>
      </w:r>
      <w:r>
        <w:t xml:space="preserve"> already exists); diagnosis ICD + procedure codes capture (fields exist); document checklist per payer.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Query/enhancement loop using existing </w:t>
      </w:r>
      <w:r>
        <w:rPr>
          <w:rFonts w:ascii="Consolas" w:cs="Consolas" w:eastAsia="Consolas" w:hAnsi="Consolas"/>
          <w:sz w:val="19"/>
          <w:szCs w:val="19"/>
        </w:rPr>
        <w:t xml:space="preserve">queries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enhancement_history</w:t>
      </w:r>
      <w:r>
        <w:t xml:space="preserve"> Json: log payer query, due-by clock, response, and approved-amount enhancements; status transitions Submitted → QueryRaised → Approved/PartiallyApproved/Denied/Enhanced.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Link approved pre-auth to the admission so final billing pre-fills </w:t>
      </w:r>
      <w:r>
        <w:rPr>
          <w:rFonts w:ascii="Consolas" w:cs="Consolas" w:eastAsia="Consolas" w:hAnsi="Consolas"/>
          <w:sz w:val="19"/>
          <w:szCs w:val="19"/>
        </w:rPr>
        <w:t xml:space="preserve">tpa_payable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pre_auth_id</w:t>
      </w:r>
      <w:r>
        <w:t xml:space="preserve">; warn when final bill exceeds approved amount (enhancement trigger).</w:t>
      </w:r>
    </w:p>
    <w:p>
      <w:pPr>
        <w:pStyle w:val="Heading2"/>
      </w:pPr>
      <w:r>
        <w:t xml:space="preserve">5.3 Claim Creation &amp; Submission (FR-TPA-03)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claim from a finalized payer invoice (reuse </w:t>
      </w:r>
      <w:r>
        <w:rPr>
          <w:rFonts w:ascii="Consolas" w:cs="Consolas" w:eastAsia="Consolas" w:hAnsi="Consolas"/>
          <w:sz w:val="19"/>
          <w:szCs w:val="19"/>
        </w:rPr>
        <w:t xml:space="preserve">submitInsuranceClaim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autoSubmitClaim</w:t>
      </w:r>
      <w:r>
        <w:t xml:space="preserve"> and invoice </w:t>
      </w:r>
      <w:r>
        <w:rPr>
          <w:rFonts w:ascii="Consolas" w:cs="Consolas" w:eastAsia="Consolas" w:hAnsi="Consolas"/>
          <w:sz w:val="19"/>
          <w:szCs w:val="19"/>
        </w:rPr>
        <w:t xml:space="preserve">tpa_claim_status</w:t>
      </w:r>
      <w:r>
        <w:t xml:space="preserve">); enforce document checklist completeness before submit.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Billed vs Unbilled views (benchmark toggle): Unbilled = eligible admissions/invoices with no claim (</w:t>
      </w:r>
      <w:r>
        <w:rPr>
          <w:rFonts w:ascii="Consolas" w:cs="Consolas" w:eastAsia="Consolas" w:hAnsi="Consolas"/>
          <w:sz w:val="19"/>
          <w:szCs w:val="19"/>
        </w:rPr>
        <w:t xml:space="preserve">getRevenueLeakage</w:t>
      </w:r>
      <w:r>
        <w:t xml:space="preserve"> upgraded); Billed = submitted claims; one filterable workbench by payer + date range with Excel export.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Batch submission per payer; submission mode per provider (</w:t>
      </w:r>
      <w:r>
        <w:rPr>
          <w:rFonts w:ascii="Consolas" w:cs="Consolas" w:eastAsia="Consolas" w:hAnsi="Consolas"/>
          <w:sz w:val="19"/>
          <w:szCs w:val="19"/>
        </w:rPr>
        <w:t xml:space="preserve">claim_submission_mode</w:t>
      </w:r>
      <w:r>
        <w:t xml:space="preserve">: online/manual/mixed) chooses Zealthix push vs manual-with-cover-letter.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Submission writes a dispatch record (see 5.4) and starts the payment-terms SLA clock (</w:t>
      </w:r>
      <w:r>
        <w:rPr>
          <w:rFonts w:ascii="Consolas" w:cs="Consolas" w:eastAsia="Consolas" w:hAnsi="Consolas"/>
          <w:sz w:val="19"/>
          <w:szCs w:val="19"/>
        </w:rPr>
        <w:t xml:space="preserve">payment_terms_days</w:t>
      </w:r>
      <w:r>
        <w:t xml:space="preserve">).</w:t>
      </w:r>
    </w:p>
    <w:p>
      <w:pPr>
        <w:pStyle w:val="Heading2"/>
      </w:pPr>
      <w:r>
        <w:t xml:space="preserve">5.4 Cover Letter &amp; Dispatch (FR-TPA-04)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a branded cover letter (existing @react-pdf/renderer) listing hospital + payer + patient + claim + bill + enclosed documents; per-claim or batch.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Dispatch register: mode (Portal/Email/Courier/Hand), reference/AWB, dispatched_by, dispatched_at, acknowledgement received + date; new </w:t>
      </w:r>
      <w:r>
        <w:rPr>
          <w:rFonts w:ascii="Consolas" w:cs="Consolas" w:eastAsia="Consolas" w:hAnsi="Consolas"/>
          <w:sz w:val="19"/>
          <w:szCs w:val="19"/>
        </w:rPr>
        <w:t xml:space="preserve">ClaimDispatch</w:t>
      </w:r>
      <w:r>
        <w:t xml:space="preserve">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Acknowledgement updates claim to UnderReview and is the official “submitted on” date for aging.</w:t>
      </w:r>
    </w:p>
    <w:p>
      <w:pPr>
        <w:pStyle w:val="Heading2"/>
      </w:pPr>
      <w:r>
        <w:t xml:space="preserve">5.5 Sanction &amp; Bill-Wise Sanction (FR-TPA-05)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payer sanction/approval against a claim: sanctioned amount, disallowed amount + reason(s), TDS, copay; populates </w:t>
      </w:r>
      <w:r>
        <w:rPr>
          <w:rFonts w:ascii="Consolas" w:cs="Consolas" w:eastAsia="Consolas" w:hAnsi="Consolas"/>
          <w:sz w:val="19"/>
          <w:szCs w:val="19"/>
        </w:rPr>
        <w:t xml:space="preserve">insurance_claims.approved_amount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rejected_amount</w:t>
      </w:r>
      <w:r>
        <w:t xml:space="preserve"> and invoice </w:t>
      </w:r>
      <w:r>
        <w:rPr>
          <w:rFonts w:ascii="Consolas" w:cs="Consolas" w:eastAsia="Consolas" w:hAnsi="Consolas"/>
          <w:sz w:val="19"/>
          <w:szCs w:val="19"/>
        </w:rPr>
        <w:t xml:space="preserve">tpa_approved_amount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Bill-Wise Sanction view reconciles per bill: Claim Amt → Sanctioned → Received → Short-Pay → Status — exactly the benchmark column set, but with drill-down to disallowance reasons and the receipt that paid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Disallowance taxonomy (configurable): tariff difference, non-payable items, documentation, policy sub-limit, copay, pre-existing, etc.; each short-pay line is classified for analytics and recover/write-off decisioning.</w:t>
      </w:r>
    </w:p>
    <w:p>
      <w:pPr>
        <w:pStyle w:val="Heading2"/>
      </w:pPr>
      <w:r>
        <w:t xml:space="preserve">5.6 Receipts &amp; Advice Reconciliation (FR-TPA-06)</w:t>
      </w:r>
    </w:p>
    <w:p>
      <w:pPr>
        <w:spacing w:after="120"/>
      </w:pPr>
      <w:r>
        <w:rPr>
          <w:b/>
          <w:bCs/>
        </w:rPr>
        <w:t xml:space="preserve">This is the heart of the benchmark “Insurance Receipts” screen and the biggest functional gap today.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a payer remittance/advice once: payer, instrument (NEFT/RTGS/Cheque/UPI), UTR/reference, amount, date — a new </w:t>
      </w:r>
      <w:r>
        <w:rPr>
          <w:rFonts w:ascii="Consolas" w:cs="Consolas" w:eastAsia="Consolas" w:hAnsi="Consolas"/>
          <w:sz w:val="19"/>
          <w:szCs w:val="19"/>
        </w:rPr>
        <w:t xml:space="preserve">InsuranceReceipt</w:t>
      </w:r>
      <w:r>
        <w:t xml:space="preserve"> header.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Allocate the receipt across many bills/claims (one-to-many </w:t>
      </w:r>
      <w:r>
        <w:rPr>
          <w:rFonts w:ascii="Consolas" w:cs="Consolas" w:eastAsia="Consolas" w:hAnsi="Consolas"/>
          <w:sz w:val="19"/>
          <w:szCs w:val="19"/>
        </w:rPr>
        <w:t xml:space="preserve">InsuranceReceiptAllocation</w:t>
      </w:r>
      <w:r>
        <w:t xml:space="preserve">): per bill set received, disallowed, TDS; unallocated remainder is tracked as an “unmapped receipt” (the benchmark’s UNMAPPED RECEIPT column) until matched.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allocation, reuse and extend </w:t>
      </w:r>
      <w:r>
        <w:rPr>
          <w:rFonts w:ascii="Consolas" w:cs="Consolas" w:eastAsia="Consolas" w:hAnsi="Consolas"/>
          <w:sz w:val="19"/>
          <w:szCs w:val="19"/>
        </w:rPr>
        <w:t xml:space="preserve">recordTpaPaymentReceived</w:t>
      </w:r>
      <w:r>
        <w:t xml:space="preserve">: create </w:t>
      </w:r>
      <w:r>
        <w:rPr>
          <w:rFonts w:ascii="Consolas" w:cs="Consolas" w:eastAsia="Consolas" w:hAnsi="Consolas"/>
          <w:sz w:val="19"/>
          <w:szCs w:val="19"/>
        </w:rPr>
        <w:t xml:space="preserve">payments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PaymentSplit</w:t>
      </w:r>
      <w:r>
        <w:t xml:space="preserve"> rows, update invoice </w:t>
      </w:r>
      <w:r>
        <w:rPr>
          <w:rFonts w:ascii="Consolas" w:cs="Consolas" w:eastAsia="Consolas" w:hAnsi="Consolas"/>
          <w:sz w:val="19"/>
          <w:szCs w:val="19"/>
        </w:rPr>
        <w:t xml:space="preserve">tpa_settled_amount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paid_amount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balance_due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tpa_claim_status</w:t>
      </w:r>
      <w:r>
        <w:t xml:space="preserve">, and post to GL — all under the existing optimistic-lock + audit-snapshot pattern.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“Pending advices” = sanctioned/approved claims with no (or partial) receipt — the benchmark’s PENDING ADVICES count, surfaced on the receipts screen and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Receipt register UI per payer with a RECEIPT action, matching the benchmark, plus reversal/bounce handling (PaymentSplit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bounced/refunded).</w:t>
      </w:r>
    </w:p>
    <w:p>
      <w:pPr>
        <w:pStyle w:val="Heading2"/>
      </w:pPr>
      <w:r>
        <w:t xml:space="preserve">5.7 Denial, Resubmission &amp; Appeals (FR-TPA-07)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Denial reason taxonomy on full/partial rejection; new fields </w:t>
      </w:r>
      <w:r>
        <w:rPr>
          <w:rFonts w:ascii="Consolas" w:cs="Consolas" w:eastAsia="Consolas" w:hAnsi="Consolas"/>
          <w:sz w:val="19"/>
          <w:szCs w:val="19"/>
        </w:rPr>
        <w:t xml:space="preserve">denial_reason_code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resubmission_count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appeal_status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insurance_claims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Resubmission cycle: clone-and-correct a denied claim, link to the original, increment count, re-run dispatch + SLA clock; appeal track with deadline.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 follow-up tasks (reuse the existing Notification/Task surface) on QueryRaised, Denied, and ageing-breach; assignable to the insurance desk.</w:t>
      </w:r>
    </w:p>
    <w:p>
      <w:pPr>
        <w:pStyle w:val="Heading2"/>
      </w:pPr>
      <w:r>
        <w:t xml:space="preserve">5.8 Outstanding &amp; Aging (FR-TPA-08)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Aging engine computing, per payer and per bill: opening, below-N-days, above-N-days (configurable, default 60 like the benchmark; also 0–30/31–60/61–90/90+), unmapped receipts, and balance, with a TOTAL footer — matching and extending the benchmark “Ins. Outstanding”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Aging date basis = dispatch/acknowledgement date (configurable to bill date); FY-aware; branch and payer filters.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Summary + Excel/PDF export; drill from a payer balance to its bills to a bill’s sanction/receipt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Hard reconciliation: aging subledger total must equal GL TPA receivable (1150) + corporate receivable (1140) control balances at any as-on date.</w:t>
      </w:r>
    </w:p>
    <w:p>
      <w:pPr>
        <w:pStyle w:val="Heading2"/>
      </w:pPr>
      <w:r>
        <w:t xml:space="preserve">5.9 Masters, SLA &amp; Configuration (FR-TPA-09)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Manage </w:t>
      </w:r>
      <w:r>
        <w:rPr>
          <w:rFonts w:ascii="Consolas" w:cs="Consolas" w:eastAsia="Consolas" w:hAnsi="Consolas"/>
          <w:sz w:val="19"/>
          <w:szCs w:val="19"/>
        </w:rPr>
        <w:t xml:space="preserve">insurance_providers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CorporateMaster</w:t>
      </w:r>
      <w:r>
        <w:t xml:space="preserve">: payment terms, discount/tariff, pre-auth-required, submission mode, covered/excluded services, document checklist, denial-reason library.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SLA config per payer (submission TAT, payment-terms clock, follow-up cadence) driving dashboard and tasks.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Copay/co-payment model: explicit copay % / fixed on policy or contract, split into </w:t>
      </w:r>
      <w:r>
        <w:rPr>
          <w:rFonts w:ascii="Consolas" w:cs="Consolas" w:eastAsia="Consolas" w:hAnsi="Consolas"/>
          <w:sz w:val="19"/>
          <w:szCs w:val="19"/>
        </w:rPr>
        <w:t xml:space="preserve">patient_payable</w:t>
      </w:r>
      <w:r>
        <w:t xml:space="preserve"> at billing with a clear line, not silently folded in.</w:t>
      </w:r>
    </w:p>
    <w:p>
      <w:pPr>
        <w:pStyle w:val="Heading1"/>
      </w:pPr>
      <w:r>
        <w:t xml:space="preserve">6. Data Model (Deltas — Mostly Additive)</w:t>
      </w:r>
    </w:p>
    <w:p>
      <w:pPr>
        <w:spacing w:after="120"/>
      </w:pPr>
      <w:r>
        <w:t xml:space="preserve">Existing models stay; we add a few and extend others. Conventions follow the codebase (int autoincrement for transactional tables, organizationId + indexes, snake_case, @@map).</w:t>
      </w:r>
    </w:p>
    <w:p>
      <w:pPr>
        <w:pStyle w:val="Heading2"/>
      </w:pPr>
      <w:r>
        <w:t xml:space="preserve">6.1 New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InsuranceReceipt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receipt_number (unique), payer_type (tpa_insurance|corporate), provider_id?/corporate_id?, instrument (NEFT/RTGS/Cheque/UPI/Other), reference_number (unique per org), receipt_date, total_amount, allocated_amount, unmapped_amount, tds_total, status (Open, PartiallyAllocated, Allocated, Reversed), remarks, organizationId, created_at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InsuranceReceiptAllocation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receipt_id, invoice_id, claim_id?, allocated_amount, disallowed_amount, tds_amount, disallowance_reason_code?, payment_split_id, created_at — one receipt → many bills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ClaimDispatch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claim_id, dispatch_mode (Portal/Email/Courier/Hand), reference_awb, cover_letter_key (S3), dispatched_by, dispatched_at, ack_received, ack_date, organizationId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DenialReason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code, description, category (TariffDiff, NonPayable, Documentation, SubLimit, Copay, PreExisting, Other), is_recoverable, organizationId — configurable library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ClaimShortPay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claim_id, invoice_id, amount, denial_reason_code, disposition (PendingReview, ToRecover, WriteOff, Resubmit), resolved_by, resolved_at, gl_posted — short-pay/disallowance ledger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PayerSlaConfig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provider_id?/corporate_id?, submission_tat_hours, payment_terms_days, followup_cadence_days, ageing_alert_days, organizationId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Modified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insurance_claims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denial_reason_code?, resubmission_count (default 0), original_claim_id? (resubmission link), appeal_status?, sanctioned_amount (explicit), short_pay_amount, dispatch_id?, sla_due_at?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InsurancePreAuth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query_due_at?, document_checklist Json; wire the orphaned actions to THIS model (remove the non-existent preAuthorization reference)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insurance_policies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copay_percent?, copay_fixed?, eligibility_snapshot Json?, ecard_key?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insurance_providers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document_checklist Json, denial_followup_cadence_days?; (already has payment_terms_days, claim_submission_mode)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invoices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new columns required for core flow — reuse tpa_approved_amount / tpa_settled_amount / tpa_claim_status / tpa_payable; optional add tpa_disallowed_amount, tpa_tds_amount for fast bill-wise views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PaymentSplit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receipt_allocation_id? to link a split back to its InsuranceReceiptAllocation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GL / Receivables Integration (Contract with Finance)</w:t>
      </w:r>
    </w:p>
    <w:p>
      <w:pPr>
        <w:spacing w:after="120"/>
      </w:pPr>
      <w:r>
        <w:t xml:space="preserve">All postings continue through </w:t>
      </w:r>
      <w:r>
        <w:rPr>
          <w:rFonts w:ascii="Consolas" w:cs="Consolas" w:eastAsia="Consolas" w:hAnsi="Consolas"/>
          <w:sz w:val="19"/>
          <w:szCs w:val="19"/>
        </w:rPr>
        <w:t xml:space="preserve">createJournalEntry</w:t>
      </w:r>
      <w:r>
        <w:t xml:space="preserve"> and the existing </w:t>
      </w:r>
      <w:r>
        <w:rPr>
          <w:rFonts w:ascii="Consolas" w:cs="Consolas" w:eastAsia="Consolas" w:hAnsi="Consolas"/>
          <w:sz w:val="19"/>
          <w:szCs w:val="19"/>
        </w:rPr>
        <w:t xml:space="preserve">post*ToGL</w:t>
      </w:r>
      <w:r>
        <w:t xml:space="preserve"> functions; new logic in </w:t>
      </w:r>
      <w:r>
        <w:rPr>
          <w:rFonts w:ascii="Consolas" w:cs="Consolas" w:eastAsia="Consolas" w:hAnsi="Consolas"/>
          <w:sz w:val="19"/>
          <w:szCs w:val="19"/>
        </w:rPr>
        <w:t xml:space="preserve">app/actions/insurance-gl-actions.ts</w:t>
      </w:r>
      <w:r>
        <w:t xml:space="preserve">. The TPA receivable control account (1150) and corporate receivable (1140) already exist; we add sub-analysis by payer via </w:t>
      </w:r>
      <w:r>
        <w:rPr>
          <w:rFonts w:ascii="Consolas" w:cs="Consolas" w:eastAsia="Consolas" w:hAnsi="Consolas"/>
          <w:sz w:val="19"/>
          <w:szCs w:val="19"/>
        </w:rPr>
        <w:t xml:space="preserve">cost_center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bill_reference</w:t>
      </w:r>
      <w:r>
        <w:t xml:space="preserve"> so the aging subledger reconciles to the GL.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Debit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Payer invoice finalized (existing)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TPA Receivable 1150 / Corporate 1140 (bill_reference = invoice)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Income heads + GST (existing postInvoiceToGL)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Receipt allocated to a bill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1110/1120; TDS Receivable (new) for tds_amount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TPA/Corporate Receivable 1150/1140 (Agst Ref = invoice)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Short-pay → write-off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 Disallowance / Bad-Debt Expense (new)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TPA/Corporate Receivable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Short-pay → to recover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GL move (stays as receivable, flagged ToRecover)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 fully denied &amp; abandoned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 Disallowance Expense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TPA/Corporate Receivable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Unmapped receipt (money in, not allocated)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  <w:tc>
          <w:tcPr>
            <w:tcW w:type="dxa" w:w="30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Unapplied Insurance Receipts (liability, new) — cleared on allocation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Aging as-on-date = ledger-derived; the Outstanding screen and GL trial balance for 1150/1140 must agree to the rupee (zero-variance reconciliation report).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Bill-wise allocation continues via </w:t>
      </w:r>
      <w:r>
        <w:rPr>
          <w:rFonts w:ascii="Consolas" w:cs="Consolas" w:eastAsia="Consolas" w:hAnsi="Consolas"/>
          <w:sz w:val="19"/>
          <w:szCs w:val="19"/>
        </w:rPr>
        <w:t xml:space="preserve">GL_JournalLine.bill_reference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bill_alloc_type</w:t>
      </w:r>
      <w:r>
        <w:t xml:space="preserve"> so Tally export stays correct.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Period locks (</w:t>
      </w:r>
      <w:r>
        <w:rPr>
          <w:rFonts w:ascii="Consolas" w:cs="Consolas" w:eastAsia="Consolas" w:hAnsi="Consolas"/>
          <w:sz w:val="19"/>
          <w:szCs w:val="19"/>
        </w:rPr>
        <w:t xml:space="preserve">FinancialPeriod</w:t>
      </w:r>
      <w:r>
        <w:t xml:space="preserve">) respected — receipts cannot post into a locked period.</w:t>
      </w:r>
    </w:p>
    <w:p>
      <w:pPr>
        <w:pStyle w:val="Heading1"/>
      </w:pPr>
      <w:r>
        <w:t xml:space="preserve">8. API &amp; Code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5"/>
        <w:gridCol w:w="5335"/>
      </w:tblGrid>
      <w:tr>
        <w:trPr>
          <w:tblHeader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app/actions/insurance-actions.ts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extend: claim resubmission, denial capture, billed/unbilled workbench, document checklist enforcement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app/actions/insurance-preauth-actions.ts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— correct pre-auth lifecycle on InsurancePreAuth (replaces the broken preAuthorization calls in insurance-corporate-actions.ts)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app/actions/insurance-receipts-actions.ts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— create receipt, allocate across bills, unmapped tracking, reversal; wraps recordTpaPaymentReceived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app/actions/insurance-dispatch-actions.ts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— cover-letter generation, dispatch register, acknowledgement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app/actions/insurance-aging-actions.ts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— payer/bill aging, outstanding summary, reconciliation vs GL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app/actions/insurance-gl-actions.ts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— postReceiptAllocationToGL, postShortPayWriteOffToGL, postUnappliedReceiptToGL, reconcileReceivablesToGL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app/api/zealthix/claim/update/route.ts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extend: real eligibility + claim push/status (currently simulation)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app/api/cron/insurance-sla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— SLA clocks, ageing-breach + query follow-up tasks/notifications</w:t>
            </w:r>
          </w:p>
        </w:tc>
      </w:tr>
      <w:tr>
        <w:trPr>
          <w:tblHeader w:val="false"/>
        </w:trPr>
        <w:tc>
          <w:tcPr>
            <w:tcW w:type="dxa" w:w="4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app/admin/finance/tpa-insurance/*</w:t>
            </w:r>
          </w:p>
        </w:tc>
        <w:tc>
          <w:tcPr>
            <w:tcW w:type="dxa" w:w="53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cockpit pages: dashboard, preauth, claims, dispatch, receipts, bill-wise-sanction, outstanding, masters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Acceptance Criteria (Definition of Done)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From a finalized TPA invoice, the desk raises a pre-auth (on InsurancePreAuth — the orphaned preAuthorization path is gone), handles a query and an enhancement, then submits a claim with a generated cover letter and a dispatch record; the SLA clock starts on acknowledgement.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payer remittance of ₹X is recorded once and allocated across 5 bills with two disallowances and TDS; each bill’s invoice, claim, PaymentSplit and GL update correctly; the unallocated remainder shows as an unmapped receipt until matched.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Bill-Wise Sanction screen shows, per bill, Claim Amt → Sanctioned → Received → Short-Pay → Status, drillable to disallowance reasons and the paying receipt — reconciling with billing to the rupee.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Outstanding screen reproduces the benchmark columns (Opening, Below 60, Above 60, Unmapped Receipt, Balance, TOTAL) per payer, is configurable to 30/60/90 buckets, exports to Excel/PDF, and its total equals GL 1150+1140 at the same as-on date.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denied claim is resubmitted with a corrected document; resubmission_count increments, the original is linked, and a fresh dispatch + SLA cycle begins.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short-pay can be dispositioned as recover or write-off; write-off posts the disallowance expense journal; recover keeps it as receivable with a follow-up task.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Insurance Receipts screen lists payers with Total Receipts and Pending Advices counts and a working RECEIPT action, matching the benchmark.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Claims Report supports payer + date range + Billed/Unbilled toggle with Excel download.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SLA cron raises follow-up tasks on query, denial, and ageing breach; the dashboard “today’s follow-ups” reflects them.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All flows are org/branch scoped, permission-checked, and audit-logged; receivables reconciliation report shows zero variance for a closed month.</w:t>
      </w:r>
    </w:p>
    <w:p>
      <w:pPr>
        <w:pStyle w:val="Heading1"/>
      </w:pPr>
      <w:r>
        <w:t xml:space="preserve">10. Delivery Plan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5242"/>
        <w:gridCol w:w="2434"/>
      </w:tblGrid>
      <w:tr>
        <w:trPr>
          <w:tblHeader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 (Week 1)</w:t>
            </w:r>
          </w:p>
        </w:tc>
        <w:tc>
          <w:tcPr>
            <w:tcW w:type="dxa" w:w="52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Correctness: fix preAuthorization→InsurancePreAuth mismatch; add additive schema fields + migration; seed GL accounts (TDS receivable, disallowance expense, unapplied receipts)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base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(Weeks 2–5)</w:t>
            </w:r>
          </w:p>
        </w:tc>
        <w:tc>
          <w:tcPr>
            <w:tcW w:type="dxa" w:w="52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Receipts &amp; Advice + Bill-Wise Sanction + Outstanding/Aging engine + GL reconciliation; finance cockpit shell + dashboard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Collections core live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(Weeks 6–9)</w:t>
            </w:r>
          </w:p>
        </w:tc>
        <w:tc>
          <w:tcPr>
            <w:tcW w:type="dxa" w:w="52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 Workbench (billed/unbilled, export), Cover Letter &amp; Dispatch, denial taxonomy + resubmission/appeals, short-pay ledger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claim lifecycle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(Weeks 10–12)</w:t>
            </w:r>
          </w:p>
        </w:tc>
        <w:tc>
          <w:tcPr>
            <w:tcW w:type="dxa" w:w="52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Pre-auth cockpit upgrade, copay/TDS, SLA cron + follow-up tasks, real Zealthix eligibility/claim push, payer scorecards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 &amp; integration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(Backlog)</w:t>
            </w:r>
          </w:p>
        </w:tc>
        <w:tc>
          <w:tcPr>
            <w:tcW w:type="dxa" w:w="52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insurer EDI, patient claim-status portal, predictive denial flagging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1872"/>
        <w:gridCol w:w="3276"/>
      </w:tblGrid>
      <w:tr>
        <w:trPr>
          <w:tblHeader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Aging subledger drifts from GL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ledger-derived source; nightly reconciliation report; block period close on variance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Touching the optimistic-locked settlement path introduces regressions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Extend, do not rewrite, recordTpaPaymentReceived; full settlement regression suite; keep version + audit snapshots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preAuthorization mismatch hides other dead paths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 audit of all insurance actions against schema before building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Zealthix real integration scope/credentials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behind feature flag; manual + cover-letter path always works; integrate per-payer incrementally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Disallowance/denial taxonomy adoption by desk staff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 a sensible default library; make reasons mandatory on short-pay; train with the cockpit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Q1:</w:t>
      </w:r>
      <w:r>
        <w:t xml:space="preserve"> Default aging basis — dispatch/acknowledgement date (recommended) or bill date? Benchmark appears bill/claim-date based; confirm with finance.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Q2:</w:t>
      </w:r>
      <w:r>
        <w:t xml:space="preserve"> Do corporates and TPAs share one outstanding screen (toggle) or two? Recommendation: one cockpit, payer-type filter.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Q3:</w:t>
      </w:r>
      <w:r>
        <w:t xml:space="preserve"> TDS handling — single TDS-receivable account vs per-section; confirm with finance/Tally mapping.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Q4:</w:t>
      </w:r>
      <w:r>
        <w:t xml:space="preserve"> Which payers go live on Zealthix first, and are credentials available beyond the current simulation?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Confidential — Internal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HospitalOS — TPA &amp; Insurance (Finance)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2026-06-21T20:53:29.945Z</dcterms:created>
  <dcterms:modified xsi:type="dcterms:W3CDTF">2026-06-21T20:53:29.955Z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