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b/>
          <w:bCs/>
          <w:color w:val="1F3864"/>
          <w:sz w:val="36"/>
          <w:szCs w:val="36"/>
        </w:rPr>
        <w:t xml:space="preserve">Review, Implementation, and Comparative Analysis of</w:t>
      </w:r>
    </w:p>
    <w:p>
      <w:pPr>
        <w:spacing w:after="240"/>
        <w:jc w:val="center"/>
      </w:pPr>
      <w:r>
        <w:rPr>
          <w:rFonts w:ascii="Arial" w:cs="Arial" w:eastAsia="Arial" w:hAnsi="Arial"/>
          <w:b/>
          <w:bCs/>
          <w:color w:val="1F3864"/>
          <w:sz w:val="36"/>
          <w:szCs w:val="36"/>
        </w:rPr>
        <w:t xml:space="preserve">Encoder–Decoder Models with and without Attention Mechanism</w:t>
      </w:r>
    </w:p>
    <w:p>
      <w:pPr>
        <w:jc w:val="center"/>
      </w:pPr>
      <w:r>
        <w:rPr>
          <w:rFonts w:ascii="Arial" w:cs="Arial" w:eastAsia="Arial" w:hAnsi="Arial"/>
          <w:i/>
          <w:iCs/>
          <w:color w:val="444444"/>
          <w:sz w:val="24"/>
          <w:szCs w:val="24"/>
        </w:rPr>
        <w:t xml:space="preserve">Paper: Efficient Machine Translation with a BiLSTM-Attention Approach</w:t>
      </w:r>
    </w:p>
    <w:p>
      <w:pPr>
        <w:spacing w:after="120"/>
        <w:jc w:val="center"/>
      </w:pPr>
      <w:r>
        <w:rPr>
          <w:rFonts w:ascii="Arial" w:cs="Arial" w:eastAsia="Arial" w:hAnsi="Arial"/>
          <w:color w:val="666666"/>
          <w:sz w:val="22"/>
          <w:szCs w:val="22"/>
        </w:rPr>
        <w:t xml:space="preserve">Wu &amp; Xing, arXiv:2410.22335, October 2024</w:t>
      </w:r>
    </w:p>
    <w:p>
      <w:pPr>
        <w:spacing w:after="240"/>
        <w:jc w:val="center"/>
      </w:pPr>
      <w:r>
        <w:rPr>
          <w:rFonts w:ascii="Arial" w:cs="Arial" w:eastAsia="Arial" w:hAnsi="Arial"/>
          <w:color w:val="888888"/>
          <w:sz w:val="20"/>
          <w:szCs w:val="20"/>
        </w:rPr>
        <w:t xml:space="preserve">Dataset: Tatoeba English-French (OPUS, v2023-04-12)  |  Course: Deep Learning</w:t>
      </w:r>
    </w:p>
    <w:p>
      <w:pPr>
        <w:spacing w:after="80" w:before="120"/>
        <w:jc w:val="center"/>
      </w:pPr>
      <w:r>
        <w:rPr>
          <w:rFonts w:ascii="Arial" w:cs="Arial" w:eastAsia="Arial" w:hAnsi="Arial"/>
          <w:b/>
          <w:bCs/>
          <w:color w:val="1F3864"/>
          <w:sz w:val="24"/>
          <w:szCs w:val="24"/>
        </w:rPr>
        <w:t xml:space="preserve">Group Members</w:t>
      </w:r>
    </w:p>
    <w:p>
      <w:pPr>
        <w:spacing w:after="60"/>
        <w:jc w:val="center"/>
      </w:pPr>
      <w:r>
        <w:rPr>
          <w:rFonts w:ascii="Arial" w:cs="Arial" w:eastAsia="Arial" w:hAnsi="Arial"/>
          <w:sz w:val="22"/>
          <w:szCs w:val="22"/>
        </w:rPr>
        <w:t xml:space="preserve">Mohit Patil (202301040272)   |   Parimal Ahire (202301040067)</w:t>
      </w:r>
    </w:p>
    <w:p>
      <w:pPr>
        <w:spacing w:after="600"/>
        <w:jc w:val="center"/>
      </w:pPr>
      <w:r>
        <w:rPr>
          <w:rFonts w:ascii="Arial" w:cs="Arial" w:eastAsia="Arial" w:hAnsi="Arial"/>
          <w:sz w:val="22"/>
          <w:szCs w:val="22"/>
        </w:rPr>
        <w:t xml:space="preserve">Rajveersinh Kher (202301040233)   |   Atharva Suryawanshi (202301040283)</w:t>
      </w:r>
    </w:p>
    <w:p>
      <w:r>
        <w:br w:type="page"/>
      </w:r>
    </w:p>
    <w:p>
      <w:pPr>
        <w:pStyle w:val="Heading1"/>
        <w:spacing w:after="180" w:before="360"/>
      </w:pPr>
      <w:r>
        <w:rPr>
          <w:rFonts w:ascii="Arial" w:cs="Arial" w:eastAsia="Arial" w:hAnsi="Arial"/>
          <w:b/>
          <w:bCs/>
          <w:sz w:val="32"/>
          <w:szCs w:val="32"/>
        </w:rPr>
        <w:t xml:space="preserve">Part 1: Research Paper Review</w:t>
      </w:r>
    </w:p>
    <w:p>
      <w:pPr>
        <w:pStyle w:val="Heading2"/>
        <w:spacing w:after="120" w:before="240"/>
      </w:pPr>
      <w:r>
        <w:rPr>
          <w:rFonts w:ascii="Arial" w:cs="Arial" w:eastAsia="Arial" w:hAnsi="Arial"/>
          <w:b/>
          <w:bCs/>
          <w:sz w:val="26"/>
          <w:szCs w:val="26"/>
        </w:rPr>
        <w:t xml:space="preserve">1.1  Problem Statement</w:t>
      </w:r>
    </w:p>
    <w:p>
      <w:pPr>
        <w:spacing w:after="60" w:before="60"/>
        <w:jc w:val="both"/>
      </w:pPr>
      <w:r>
        <w:rPr>
          <w:rFonts w:ascii="Arial" w:cs="Arial" w:eastAsia="Arial" w:hAnsi="Arial"/>
          <w:sz w:val="22"/>
          <w:szCs w:val="22"/>
        </w:rPr>
        <w:t xml:space="preserve">Modern machine translation has been dominated by Transformer-based architectures since Vaswani et al. (2017). While Transformers deliver high translation quality, they are computationally expensive and memory-intensive, making them unsuitable for resource-constrained environments such as mobile devices, embedded systems, or low-bandwidth deployment scenarios.</w:t>
      </w:r>
    </w:p>
    <w:p>
      <w:pPr>
        <w:spacing w:after="60" w:before="60"/>
        <w:jc w:val="both"/>
      </w:pPr>
      <w:r>
        <w:rPr>
          <w:rFonts w:ascii="Arial" w:cs="Arial" w:eastAsia="Arial" w:hAnsi="Arial"/>
          <w:sz w:val="22"/>
          <w:szCs w:val="22"/>
        </w:rPr>
        <w:t xml:space="preserve">Wu and Xing (2024) propose an alternative: a Seq2Seq model using a Bidirectional LSTM (BiLSTM) encoder combined with an attention-enhanced decoder. Their central claim is that this architecture can match or exceed Transformer-level translation quality on WMT14 benchmarks while occupying significantly less storage space and requiring fewer computational resources.</w:t>
      </w:r>
    </w:p>
    <w:p>
      <w:pPr>
        <w:spacing w:after="60" w:before="60"/>
      </w:pPr>
      <w:r>
        <w:t xml:space="preserve"/>
      </w:r>
    </w:p>
    <w:p>
      <w:pPr>
        <w:pStyle w:val="Heading2"/>
        <w:spacing w:after="120" w:before="240"/>
      </w:pPr>
      <w:r>
        <w:rPr>
          <w:rFonts w:ascii="Arial" w:cs="Arial" w:eastAsia="Arial" w:hAnsi="Arial"/>
          <w:b/>
          <w:bCs/>
          <w:sz w:val="26"/>
          <w:szCs w:val="26"/>
        </w:rPr>
        <w:t xml:space="preserve">1.2  Architecture: Encoder–Decoder with Attention</w:t>
      </w:r>
    </w:p>
    <w:p>
      <w:pPr>
        <w:spacing w:after="60" w:before="60"/>
        <w:jc w:val="both"/>
      </w:pPr>
      <w:r>
        <w:rPr>
          <w:rFonts w:ascii="Arial" w:cs="Arial" w:eastAsia="Arial" w:hAnsi="Arial"/>
          <w:sz w:val="22"/>
          <w:szCs w:val="22"/>
        </w:rPr>
        <w:t xml:space="preserve">The model follows a classic encoder-decoder structure with the following key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BiLSTM Encoder</w:t>
            </w:r>
          </w:p>
        </w:tc>
        <w:tc>
          <w:tcPr>
            <w:tcW w:type="dxa" w:w="7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Reads the input sequence in both forward and backward directions simultaneously. Produces a sequence of hidden states that capture left and right context at every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Learnable Initial States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Instead of zero-initializing h0 and c0, the paper introduces trainable parameters for the initial hidden and cell states, allowing the model to learn a task-optimal starting point.</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Projection Layer</w:t>
            </w:r>
          </w:p>
        </w:tc>
        <w:tc>
          <w:tcPr>
            <w:tcW w:type="dxa" w:w="7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 linear layer merges the forward and backward final hidden states of the BiLSTM into a single vector suitable for decoder initialization.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 Mechanism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Bahdanau (additive) attention is applied at each decoder step. The decoder queries all encoder hidden states to compute a context vector, rather than relying on a single fixed bottleneck vector.</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LSTM Decoder</w:t>
            </w:r>
          </w:p>
        </w:tc>
        <w:tc>
          <w:tcPr>
            <w:tcW w:type="dxa" w:w="7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At each step, the decoder receives the previous output token embedding concatenated with the attention context vector. The final prediction is produced from a linear projection over [LSTM output, context, embedding].</w:t>
            </w:r>
          </w:p>
        </w:tc>
      </w:tr>
    </w:tbl>
    <w:p>
      <w:pPr>
        <w:spacing w:after="60" w:before="60"/>
      </w:pPr>
      <w:r>
        <w:t xml:space="preserve"/>
      </w:r>
    </w:p>
    <w:p>
      <w:pPr>
        <w:pStyle w:val="Heading2"/>
        <w:spacing w:after="120" w:before="240"/>
      </w:pPr>
      <w:r>
        <w:rPr>
          <w:rFonts w:ascii="Arial" w:cs="Arial" w:eastAsia="Arial" w:hAnsi="Arial"/>
          <w:b/>
          <w:bCs/>
          <w:sz w:val="26"/>
          <w:szCs w:val="26"/>
        </w:rPr>
        <w:t xml:space="preserve">1.3  Type of Attention Used</w:t>
      </w:r>
    </w:p>
    <w:p>
      <w:pPr>
        <w:spacing w:after="60" w:before="60"/>
        <w:jc w:val="both"/>
      </w:pPr>
      <w:r>
        <w:rPr>
          <w:rFonts w:ascii="Arial" w:cs="Arial" w:eastAsia="Arial" w:hAnsi="Arial"/>
          <w:sz w:val="22"/>
          <w:szCs w:val="22"/>
        </w:rPr>
        <w:t xml:space="preserve">The paper employs Bahdanau Attention (Additive Attention), introduced by Bahdanau, Cho, and Bengio (2015). The attention score between decoder hidden state s and encoder hidden state h is computed as:</w:t>
      </w:r>
    </w:p>
    <w:p>
      <w:pPr>
        <w:spacing w:after="60" w:before="60"/>
      </w:pPr>
      <w:r>
        <w:t xml:space="preserve"/>
      </w:r>
    </w:p>
    <w:p>
      <w:pPr>
        <w:spacing w:after="40" w:before="40"/>
        <w:ind w:left="720"/>
      </w:pPr>
      <w:r>
        <w:rPr>
          <w:rFonts w:ascii="Courier New" w:cs="Courier New" w:eastAsia="Courier New" w:hAnsi="Courier New"/>
          <w:color w:val="2D6A2D"/>
          <w:sz w:val="18"/>
          <w:szCs w:val="18"/>
        </w:rPr>
        <w:t xml:space="preserve">score(s, h) = v · tanh(W1·h + W2·s)</w:t>
      </w:r>
    </w:p>
    <w:p>
      <w:pPr>
        <w:spacing w:after="40" w:before="40"/>
        <w:ind w:left="720"/>
      </w:pPr>
      <w:r>
        <w:rPr>
          <w:rFonts w:ascii="Courier New" w:cs="Courier New" w:eastAsia="Courier New" w:hAnsi="Courier New"/>
          <w:color w:val="2D6A2D"/>
          <w:sz w:val="18"/>
          <w:szCs w:val="18"/>
        </w:rPr>
        <w:t xml:space="preserve">alpha = softmax(score)     |     context = Σ(alpha_i · h_i)</w:t>
      </w:r>
    </w:p>
    <w:p>
      <w:pPr>
        <w:spacing w:after="60" w:before="60"/>
      </w:pPr>
      <w:r>
        <w:t xml:space="preserve"/>
      </w:r>
    </w:p>
    <w:p>
      <w:pPr>
        <w:spacing w:after="60" w:before="60"/>
        <w:jc w:val="both"/>
      </w:pPr>
      <w:r>
        <w:rPr>
          <w:rFonts w:ascii="Arial" w:cs="Arial" w:eastAsia="Arial" w:hAnsi="Arial"/>
          <w:sz w:val="22"/>
          <w:szCs w:val="22"/>
        </w:rPr>
        <w:t xml:space="preserve">This allows the decoder to dynamically attend to any part of the source sentence at each generation step, resolving the fixed-context bottleneck of vanilla Seq2Seq models. Unlike Luong (dot-product) attention, Bahdanau attention uses a learned alignment function, making it more expressive.</w:t>
      </w:r>
    </w:p>
    <w:p>
      <w:pPr>
        <w:spacing w:after="60" w:before="60"/>
      </w:pPr>
      <w:r>
        <w:t xml:space="preserve"/>
      </w:r>
    </w:p>
    <w:p>
      <w:pPr>
        <w:pStyle w:val="Heading2"/>
        <w:spacing w:after="120" w:before="240"/>
      </w:pPr>
      <w:r>
        <w:rPr>
          <w:rFonts w:ascii="Arial" w:cs="Arial" w:eastAsia="Arial" w:hAnsi="Arial"/>
          <w:b/>
          <w:bCs/>
          <w:sz w:val="26"/>
          <w:szCs w:val="26"/>
        </w:rPr>
        <w:t xml:space="preserve">1.4  Dataset Used</w:t>
      </w:r>
    </w:p>
    <w:p>
      <w:pPr>
        <w:spacing w:after="60" w:before="60"/>
        <w:jc w:val="both"/>
      </w:pPr>
      <w:r>
        <w:rPr>
          <w:rFonts w:ascii="Arial" w:cs="Arial" w:eastAsia="Arial" w:hAnsi="Arial"/>
          <w:sz w:val="22"/>
          <w:szCs w:val="22"/>
        </w:rPr>
        <w:t xml:space="preserve">The paper conducts experiments on the WMT14 (Workshop on Machine Translation 2014) dataset, the standard benchmark for neural machine translation research. WMT14 includes:</w:t>
      </w:r>
    </w:p>
    <w:p>
      <w:pPr>
        <w:pStyle w:val="ListParagraph"/>
        <w:numPr>
          <w:ilvl w:val="0"/>
          <w:numId w:val="2"/>
        </w:numPr>
        <w:spacing w:after="40" w:before="40"/>
      </w:pPr>
      <w:r>
        <w:rPr>
          <w:rFonts w:ascii="Arial" w:cs="Arial" w:eastAsia="Arial" w:hAnsi="Arial"/>
          <w:sz w:val="22"/>
          <w:szCs w:val="22"/>
        </w:rPr>
        <w:t xml:space="preserve">English-German (EN-DE): approximately 4.5 million sentence pairs</w:t>
      </w:r>
    </w:p>
    <w:p>
      <w:pPr>
        <w:pStyle w:val="ListParagraph"/>
        <w:numPr>
          <w:ilvl w:val="0"/>
          <w:numId w:val="2"/>
        </w:numPr>
        <w:spacing w:after="40" w:before="40"/>
      </w:pPr>
      <w:r>
        <w:rPr>
          <w:rFonts w:ascii="Arial" w:cs="Arial" w:eastAsia="Arial" w:hAnsi="Arial"/>
          <w:sz w:val="22"/>
          <w:szCs w:val="22"/>
        </w:rPr>
        <w:t xml:space="preserve">English-French (EN-FR): approximately 35.8 million sentence pairs</w:t>
      </w:r>
    </w:p>
    <w:p>
      <w:pPr>
        <w:spacing w:after="60" w:before="60"/>
      </w:pPr>
      <w:r>
        <w:t xml:space="preserve"/>
      </w:r>
    </w:p>
    <w:p>
      <w:pPr>
        <w:spacing w:after="60" w:before="60"/>
        <w:jc w:val="both"/>
      </w:pPr>
      <w:r>
        <w:rPr>
          <w:rFonts w:ascii="Arial" w:cs="Arial" w:eastAsia="Arial" w:hAnsi="Arial"/>
          <w:sz w:val="22"/>
          <w:szCs w:val="22"/>
        </w:rPr>
        <w:t xml:space="preserve">Results are reported using BLEU and ROUGE scores. In this assignment, the Tatoeba English-French corpus (OPUS, v2023-04-12) was used as a substitute for faster training on Google Colab, with up to 500 filtered sentence pairs for proof-of-concept demonstration.</w:t>
      </w:r>
    </w:p>
    <w:p>
      <w:pPr>
        <w:spacing w:after="60" w:before="60"/>
      </w:pPr>
      <w:r>
        <w:t xml:space="preserve"/>
      </w:r>
    </w:p>
    <w:p>
      <w:pPr>
        <w:pStyle w:val="Heading2"/>
        <w:spacing w:after="120" w:before="240"/>
      </w:pPr>
      <w:r>
        <w:rPr>
          <w:rFonts w:ascii="Arial" w:cs="Arial" w:eastAsia="Arial" w:hAnsi="Arial"/>
          <w:b/>
          <w:bCs/>
          <w:sz w:val="26"/>
          <w:szCs w:val="26"/>
        </w:rPr>
        <w:t xml:space="preserve">1.5  Key Contributions</w:t>
      </w:r>
    </w:p>
    <w:p>
      <w:pPr>
        <w:pStyle w:val="ListParagraph"/>
        <w:numPr>
          <w:ilvl w:val="0"/>
          <w:numId w:val="2"/>
        </w:numPr>
        <w:spacing w:after="40" w:before="40"/>
      </w:pPr>
      <w:r>
        <w:rPr>
          <w:rFonts w:ascii="Arial" w:cs="Arial" w:eastAsia="Arial" w:hAnsi="Arial"/>
          <w:b/>
          <w:bCs/>
          <w:sz w:val="22"/>
          <w:szCs w:val="22"/>
        </w:rPr>
        <w:t xml:space="preserve">Captures bidirectional context with learnable initial hidden and cell states, outperforming unidirectional LSTM encoders.</w:t>
      </w:r>
      <w:r>
        <w:rPr>
          <w:rFonts w:ascii="Arial" w:cs="Arial" w:eastAsia="Arial" w:hAnsi="Arial"/>
          <w:sz w:val="22"/>
          <w:szCs w:val="22"/>
        </w:rPr>
        <w:t xml:space="preserve">Innovative BiLSTM Encoder: </w:t>
      </w:r>
    </w:p>
    <w:p>
      <w:pPr>
        <w:pStyle w:val="ListParagraph"/>
        <w:numPr>
          <w:ilvl w:val="0"/>
          <w:numId w:val="2"/>
        </w:numPr>
        <w:spacing w:after="40" w:before="40"/>
      </w:pPr>
      <w:r>
        <w:rPr>
          <w:rFonts w:ascii="Arial" w:cs="Arial" w:eastAsia="Arial" w:hAnsi="Arial"/>
          <w:b/>
          <w:bCs/>
          <w:sz w:val="22"/>
          <w:szCs w:val="22"/>
        </w:rPr>
        <w:t xml:space="preserve">Applies Bahdanau additive attention at every decoding step, enabling dynamic source alignment.</w:t>
      </w:r>
      <w:r>
        <w:rPr>
          <w:rFonts w:ascii="Arial" w:cs="Arial" w:eastAsia="Arial" w:hAnsi="Arial"/>
          <w:sz w:val="22"/>
          <w:szCs w:val="22"/>
        </w:rPr>
        <w:t xml:space="preserve">Attention-Enhanced Decoder: </w:t>
      </w:r>
    </w:p>
    <w:p>
      <w:pPr>
        <w:pStyle w:val="ListParagraph"/>
        <w:numPr>
          <w:ilvl w:val="0"/>
          <w:numId w:val="2"/>
        </w:numPr>
        <w:spacing w:after="40" w:before="40"/>
      </w:pPr>
      <w:r>
        <w:rPr>
          <w:rFonts w:ascii="Arial" w:cs="Arial" w:eastAsia="Arial" w:hAnsi="Arial"/>
          <w:b/>
          <w:bCs/>
          <w:sz w:val="22"/>
          <w:szCs w:val="22"/>
        </w:rPr>
        <w:t xml:space="preserve">Achieves competitive or superior BLEU scores on WMT14 with a significantly smaller parameter footprint than Transformers.</w:t>
      </w:r>
      <w:r>
        <w:rPr>
          <w:rFonts w:ascii="Arial" w:cs="Arial" w:eastAsia="Arial" w:hAnsi="Arial"/>
          <w:sz w:val="22"/>
          <w:szCs w:val="22"/>
        </w:rPr>
        <w:t xml:space="preserve">Model Size Efficiency: </w:t>
      </w:r>
    </w:p>
    <w:p>
      <w:pPr>
        <w:pStyle w:val="ListParagraph"/>
        <w:numPr>
          <w:ilvl w:val="0"/>
          <w:numId w:val="2"/>
        </w:numPr>
        <w:spacing w:after="40" w:before="40"/>
      </w:pPr>
      <w:r>
        <w:rPr>
          <w:rFonts w:ascii="Arial" w:cs="Arial" w:eastAsia="Arial" w:hAnsi="Arial"/>
          <w:b/>
          <w:bCs/>
          <w:sz w:val="22"/>
          <w:szCs w:val="22"/>
        </w:rPr>
        <w:t xml:space="preserve">Suitable for deployment on mobile devices and embedded systems.</w:t>
      </w:r>
      <w:r>
        <w:rPr>
          <w:rFonts w:ascii="Arial" w:cs="Arial" w:eastAsia="Arial" w:hAnsi="Arial"/>
          <w:sz w:val="22"/>
          <w:szCs w:val="22"/>
        </w:rPr>
        <w:t xml:space="preserve">Resource-Constrained Applicability: </w:t>
      </w:r>
    </w:p>
    <w:p>
      <w:pPr>
        <w:pStyle w:val="ListParagraph"/>
        <w:numPr>
          <w:ilvl w:val="0"/>
          <w:numId w:val="2"/>
        </w:numPr>
        <w:spacing w:after="40" w:before="40"/>
      </w:pPr>
      <w:r>
        <w:rPr>
          <w:rFonts w:ascii="Arial" w:cs="Arial" w:eastAsia="Arial" w:hAnsi="Arial"/>
          <w:b/>
          <w:bCs/>
          <w:sz w:val="22"/>
          <w:szCs w:val="22"/>
        </w:rPr>
        <w:t xml:space="preserve">Comprehensive experiments across multiple language pairs confirm the quality-efficiency tradeoff.</w:t>
      </w:r>
      <w:r>
        <w:rPr>
          <w:rFonts w:ascii="Arial" w:cs="Arial" w:eastAsia="Arial" w:hAnsi="Arial"/>
          <w:sz w:val="22"/>
          <w:szCs w:val="22"/>
        </w:rPr>
        <w:t xml:space="preserve">Empirical Validation: </w:t>
      </w:r>
    </w:p>
    <w:p>
      <w:pPr>
        <w:spacing w:after="60" w:before="60"/>
      </w:pPr>
      <w:r>
        <w:t xml:space="preserve"/>
      </w:r>
    </w:p>
    <w:p>
      <w:pPr>
        <w:pStyle w:val="Heading2"/>
        <w:spacing w:after="120" w:before="240"/>
      </w:pPr>
      <w:r>
        <w:rPr>
          <w:rFonts w:ascii="Arial" w:cs="Arial" w:eastAsia="Arial" w:hAnsi="Arial"/>
          <w:b/>
          <w:bCs/>
          <w:sz w:val="26"/>
          <w:szCs w:val="26"/>
        </w:rPr>
        <w:t xml:space="preserve">1.6  Limitations</w:t>
      </w:r>
    </w:p>
    <w:p>
      <w:pPr>
        <w:pStyle w:val="ListParagraph"/>
        <w:numPr>
          <w:ilvl w:val="0"/>
          <w:numId w:val="2"/>
        </w:numPr>
        <w:spacing w:after="40" w:before="40"/>
      </w:pPr>
      <w:r>
        <w:rPr>
          <w:rFonts w:ascii="Arial" w:cs="Arial" w:eastAsia="Arial" w:hAnsi="Arial"/>
          <w:b/>
          <w:bCs/>
          <w:sz w:val="22"/>
          <w:szCs w:val="22"/>
        </w:rPr>
        <w:t xml:space="preserve">Results may not generalize to all language pairs or very large multilingual settings.</w:t>
      </w:r>
      <w:r>
        <w:rPr>
          <w:rFonts w:ascii="Arial" w:cs="Arial" w:eastAsia="Arial" w:hAnsi="Arial"/>
          <w:sz w:val="22"/>
          <w:szCs w:val="22"/>
        </w:rPr>
        <w:t xml:space="preserve">Scalability: </w:t>
      </w:r>
    </w:p>
    <w:p>
      <w:pPr>
        <w:pStyle w:val="ListParagraph"/>
        <w:numPr>
          <w:ilvl w:val="0"/>
          <w:numId w:val="2"/>
        </w:numPr>
        <w:spacing w:after="40" w:before="40"/>
      </w:pPr>
      <w:r>
        <w:rPr>
          <w:rFonts w:ascii="Arial" w:cs="Arial" w:eastAsia="Arial" w:hAnsi="Arial"/>
          <w:b/>
          <w:bCs/>
          <w:sz w:val="22"/>
          <w:szCs w:val="22"/>
        </w:rPr>
        <w:t xml:space="preserve">Trained from scratch without transfer learning, unlike modern mBART or M2M-100 models.</w:t>
      </w:r>
      <w:r>
        <w:rPr>
          <w:rFonts w:ascii="Arial" w:cs="Arial" w:eastAsia="Arial" w:hAnsi="Arial"/>
          <w:sz w:val="22"/>
          <w:szCs w:val="22"/>
        </w:rPr>
        <w:t xml:space="preserve">No Pre-training: </w:t>
      </w:r>
    </w:p>
    <w:p>
      <w:pPr>
        <w:pStyle w:val="ListParagraph"/>
        <w:numPr>
          <w:ilvl w:val="0"/>
          <w:numId w:val="2"/>
        </w:numPr>
        <w:spacing w:after="40" w:before="40"/>
      </w:pPr>
      <w:r>
        <w:rPr>
          <w:rFonts w:ascii="Arial" w:cs="Arial" w:eastAsia="Arial" w:hAnsi="Arial"/>
          <w:b/>
          <w:bCs/>
          <w:sz w:val="22"/>
          <w:szCs w:val="22"/>
        </w:rPr>
        <w:t xml:space="preserve">The paper does not explicitly describe the subword tokenization strategy (e.g., BPE, SentencePiece), affecting reproducibility.</w:t>
      </w:r>
      <w:r>
        <w:rPr>
          <w:rFonts w:ascii="Arial" w:cs="Arial" w:eastAsia="Arial" w:hAnsi="Arial"/>
          <w:sz w:val="22"/>
          <w:szCs w:val="22"/>
        </w:rPr>
        <w:t xml:space="preserve">Tokenization: </w:t>
      </w:r>
    </w:p>
    <w:p>
      <w:pPr>
        <w:pStyle w:val="ListParagraph"/>
        <w:numPr>
          <w:ilvl w:val="0"/>
          <w:numId w:val="2"/>
        </w:numPr>
        <w:spacing w:after="40" w:before="40"/>
      </w:pPr>
      <w:r>
        <w:rPr>
          <w:rFonts w:ascii="Arial" w:cs="Arial" w:eastAsia="Arial" w:hAnsi="Arial"/>
          <w:b/>
          <w:bCs/>
          <w:sz w:val="22"/>
          <w:szCs w:val="22"/>
        </w:rPr>
        <w:t xml:space="preserve">No dedicated analysis of performance on very long sentences despite attention's theoretical advantage.</w:t>
      </w:r>
      <w:r>
        <w:rPr>
          <w:rFonts w:ascii="Arial" w:cs="Arial" w:eastAsia="Arial" w:hAnsi="Arial"/>
          <w:sz w:val="22"/>
          <w:szCs w:val="22"/>
        </w:rPr>
        <w:t xml:space="preserve">Limited Long-Sequence Analysis: </w:t>
      </w:r>
    </w:p>
    <w:p>
      <w:pPr>
        <w:pStyle w:val="ListParagraph"/>
        <w:numPr>
          <w:ilvl w:val="0"/>
          <w:numId w:val="2"/>
        </w:numPr>
        <w:spacing w:after="40" w:before="40"/>
      </w:pPr>
      <w:r>
        <w:rPr>
          <w:rFonts w:ascii="Arial" w:cs="Arial" w:eastAsia="Arial" w:hAnsi="Arial"/>
          <w:b/>
          <w:bCs/>
          <w:sz w:val="22"/>
          <w:szCs w:val="22"/>
        </w:rPr>
        <w:t xml:space="preserve">Uses one attention head, whereas multi-head attention in Transformers captures multiple alignment types simultaneously.</w:t>
      </w:r>
      <w:r>
        <w:rPr>
          <w:rFonts w:ascii="Arial" w:cs="Arial" w:eastAsia="Arial" w:hAnsi="Arial"/>
          <w:sz w:val="22"/>
          <w:szCs w:val="22"/>
        </w:rPr>
        <w:t xml:space="preserve">Single Attention Head: </w:t>
      </w:r>
    </w:p>
    <w:p>
      <w:r>
        <w:br w:type="page"/>
      </w:r>
    </w:p>
    <w:p>
      <w:pPr>
        <w:pStyle w:val="Heading1"/>
        <w:spacing w:after="180" w:before="360"/>
      </w:pPr>
      <w:r>
        <w:rPr>
          <w:rFonts w:ascii="Arial" w:cs="Arial" w:eastAsia="Arial" w:hAnsi="Arial"/>
          <w:b/>
          <w:bCs/>
          <w:sz w:val="32"/>
          <w:szCs w:val="32"/>
        </w:rPr>
        <w:t xml:space="preserve">Part 2: GitHub Code Study &amp; Execution</w:t>
      </w:r>
    </w:p>
    <w:p>
      <w:pPr>
        <w:pStyle w:val="Heading2"/>
        <w:spacing w:after="120" w:before="240"/>
      </w:pPr>
      <w:r>
        <w:rPr>
          <w:rFonts w:ascii="Arial" w:cs="Arial" w:eastAsia="Arial" w:hAnsi="Arial"/>
          <w:b/>
          <w:bCs/>
          <w:sz w:val="26"/>
          <w:szCs w:val="26"/>
        </w:rPr>
        <w:t xml:space="preserve">2.1  Repository Overview</w:t>
      </w:r>
    </w:p>
    <w:p>
      <w:pPr>
        <w:spacing w:after="60" w:before="60"/>
        <w:jc w:val="both"/>
      </w:pPr>
      <w:r>
        <w:rPr>
          <w:rFonts w:ascii="Arial" w:cs="Arial" w:eastAsia="Arial" w:hAnsi="Arial"/>
          <w:sz w:val="22"/>
          <w:szCs w:val="22"/>
        </w:rPr>
        <w:t xml:space="preserve">The implementation is based on the paper's described architecture, re-implemented from scratch in PyTorch and executed on Google Colab with GPU support (Tesla T4). The notebook is structured into clearly labeled sections corresponding to each part of this assignment.</w:t>
      </w:r>
    </w:p>
    <w:p>
      <w:pPr>
        <w:spacing w:after="60" w:before="60"/>
      </w:pPr>
      <w:r>
        <w:t xml:space="preserve"/>
      </w:r>
    </w:p>
    <w:p>
      <w:pPr>
        <w:spacing w:after="60" w:before="60"/>
        <w:jc w:val="both"/>
      </w:pPr>
      <w:r>
        <w:rPr>
          <w:rFonts w:ascii="Arial" w:cs="Arial" w:eastAsia="Arial" w:hAnsi="Arial"/>
          <w:sz w:val="22"/>
          <w:szCs w:val="22"/>
        </w:rPr>
        <w:t xml:space="preserve">The complete code is available at the GitHub repository link provided with this submission. The notebook file is: BiLSTM_Attention_Tatoeba.ipynb</w:t>
      </w:r>
    </w:p>
    <w:p>
      <w:pPr>
        <w:spacing w:after="60" w:before="60"/>
      </w:pPr>
      <w:r>
        <w:t xml:space="preserve"/>
      </w:r>
    </w:p>
    <w:p>
      <w:pPr>
        <w:pStyle w:val="Heading2"/>
        <w:spacing w:after="120" w:before="240"/>
      </w:pPr>
      <w:r>
        <w:rPr>
          <w:rFonts w:ascii="Arial" w:cs="Arial" w:eastAsia="Arial" w:hAnsi="Arial"/>
          <w:b/>
          <w:bCs/>
          <w:sz w:val="26"/>
          <w:szCs w:val="26"/>
        </w:rPr>
        <w:t xml:space="preserve">2.2  Code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File Location</w:t>
            </w:r>
          </w:p>
        </w:tc>
        <w:tc>
          <w:tcPr>
            <w:tcW w:type="dxa" w:w="58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Step 0 – Setup</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Cell 2</w:t>
            </w:r>
          </w:p>
        </w:tc>
        <w:tc>
          <w:tcPr>
            <w:tcW w:type="dxa" w:w="5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Imports, random seed, GPU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A – Dataset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Cells 4–5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Tatoeba EN-FR download, vocabulary build, train/test split</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Section B – Architecture</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Cells 7–13</w:t>
            </w:r>
          </w:p>
        </w:tc>
        <w:tc>
          <w:tcPr>
            <w:tcW w:type="dxa" w:w="5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BiLSTMEncoder, BahdanauAttention, AttentionDecoder, Seq2SeqAttention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Model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Cells 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PlainDecoder, Seq2SeqNoAttention (no attention)</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Section C – Training</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Cells 17–20</w:t>
            </w:r>
          </w:p>
        </w:tc>
        <w:tc>
          <w:tcPr>
            <w:tcW w:type="dxa" w:w="5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Hyperparameters, train/eval functions, training loop for both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3 – Comparison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Cells 22–24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Translation samples, comparison table, visualizations (loss curves, bar chart, heatmap)</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Analysis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Cells 26–27</w:t>
            </w:r>
          </w:p>
        </w:tc>
        <w:tc>
          <w:tcPr>
            <w:tcW w:type="dxa" w:w="5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Multi-sentence attention heatmaps, final summary printout</w:t>
            </w:r>
          </w:p>
        </w:tc>
      </w:tr>
    </w:tbl>
    <w:p>
      <w:pPr>
        <w:spacing w:after="60" w:before="60"/>
      </w:pPr>
      <w:r>
        <w:t xml:space="preserve"/>
      </w:r>
    </w:p>
    <w:p>
      <w:pPr>
        <w:pStyle w:val="Heading2"/>
        <w:spacing w:after="120" w:before="240"/>
      </w:pPr>
      <w:r>
        <w:rPr>
          <w:rFonts w:ascii="Arial" w:cs="Arial" w:eastAsia="Arial" w:hAnsi="Arial"/>
          <w:b/>
          <w:bCs/>
          <w:sz w:val="26"/>
          <w:szCs w:val="26"/>
        </w:rPr>
        <w:t xml:space="preserve">2.3  Key Module: BiLSTM Encoder</w:t>
      </w:r>
    </w:p>
    <w:p>
      <w:pPr>
        <w:spacing w:after="60" w:before="60"/>
        <w:jc w:val="both"/>
      </w:pPr>
      <w:r>
        <w:rPr>
          <w:rFonts w:ascii="Arial" w:cs="Arial" w:eastAsia="Arial" w:hAnsi="Arial"/>
          <w:sz w:val="22"/>
          <w:szCs w:val="22"/>
        </w:rPr>
        <w:t xml:space="preserve">The encoder (BiLSTMEncoder) implements the paper's Section 3.1. It consists of four sub-components:</w:t>
      </w:r>
    </w:p>
    <w:p>
      <w:pPr>
        <w:pStyle w:val="ListParagraph"/>
        <w:numPr>
          <w:ilvl w:val="0"/>
          <w:numId w:val="2"/>
        </w:numPr>
        <w:spacing w:after="40" w:before="40"/>
      </w:pPr>
      <w:r>
        <w:rPr>
          <w:rFonts w:ascii="Arial" w:cs="Arial" w:eastAsia="Arial" w:hAnsi="Arial"/>
          <w:b/>
          <w:bCs/>
          <w:sz w:val="22"/>
          <w:szCs w:val="22"/>
        </w:rPr>
        <w:t xml:space="preserve">Maps each source token ID to a 64-dimensional dense vector.</w:t>
      </w:r>
      <w:r>
        <w:rPr>
          <w:rFonts w:ascii="Arial" w:cs="Arial" w:eastAsia="Arial" w:hAnsi="Arial"/>
          <w:sz w:val="22"/>
          <w:szCs w:val="22"/>
        </w:rPr>
        <w:t xml:space="preserve">Embedding Layer: </w:t>
      </w:r>
    </w:p>
    <w:p>
      <w:pPr>
        <w:pStyle w:val="ListParagraph"/>
        <w:numPr>
          <w:ilvl w:val="0"/>
          <w:numId w:val="2"/>
        </w:numPr>
        <w:spacing w:after="40" w:before="40"/>
      </w:pPr>
      <w:r>
        <w:rPr>
          <w:rFonts w:ascii="Arial" w:cs="Arial" w:eastAsia="Arial" w:hAnsi="Arial"/>
          <w:b/>
          <w:bCs/>
          <w:sz w:val="22"/>
          <w:szCs w:val="22"/>
        </w:rPr>
        <w:t xml:space="preserve">nn.Parameter tensors initialized to zero but updated during training — a key innovation of the paper that allows the model to learn an optimal starting context.</w:t>
      </w:r>
      <w:r>
        <w:rPr>
          <w:rFonts w:ascii="Arial" w:cs="Arial" w:eastAsia="Arial" w:hAnsi="Arial"/>
          <w:sz w:val="22"/>
          <w:szCs w:val="22"/>
        </w:rPr>
        <w:t xml:space="preserve">Learnable Initial States (h0, c0): </w:t>
      </w:r>
    </w:p>
    <w:p>
      <w:pPr>
        <w:pStyle w:val="ListParagraph"/>
        <w:numPr>
          <w:ilvl w:val="0"/>
          <w:numId w:val="2"/>
        </w:numPr>
        <w:spacing w:after="40" w:before="40"/>
      </w:pPr>
      <w:r>
        <w:rPr>
          <w:rFonts w:ascii="Arial" w:cs="Arial" w:eastAsia="Arial" w:hAnsi="Arial"/>
          <w:b/>
          <w:bCs/>
          <w:sz w:val="22"/>
          <w:szCs w:val="22"/>
        </w:rPr>
        <w:t xml:space="preserve">Processes the embedded sequence in both forward and backward directions. Output shape: [src_len, 1, 2×hidden_dim].</w:t>
      </w:r>
      <w:r>
        <w:rPr>
          <w:rFonts w:ascii="Arial" w:cs="Arial" w:eastAsia="Arial" w:hAnsi="Arial"/>
          <w:sz w:val="22"/>
          <w:szCs w:val="22"/>
        </w:rPr>
        <w:t xml:space="preserve">Bidirectional LSTM: </w:t>
      </w:r>
    </w:p>
    <w:p>
      <w:pPr>
        <w:pStyle w:val="ListParagraph"/>
        <w:numPr>
          <w:ilvl w:val="0"/>
          <w:numId w:val="2"/>
        </w:numPr>
        <w:spacing w:after="40" w:before="40"/>
      </w:pPr>
      <w:r>
        <w:rPr>
          <w:rFonts w:ascii="Arial" w:cs="Arial" w:eastAsia="Arial" w:hAnsi="Arial"/>
          <w:b/>
          <w:bCs/>
          <w:sz w:val="22"/>
          <w:szCs w:val="22"/>
        </w:rPr>
        <w:t xml:space="preserve">Linear layers that merge the final forward and backward hidden/cell states into a single [1, hidden_dim] vector for decoder initialization.</w:t>
      </w:r>
      <w:r>
        <w:rPr>
          <w:rFonts w:ascii="Arial" w:cs="Arial" w:eastAsia="Arial" w:hAnsi="Arial"/>
          <w:sz w:val="22"/>
          <w:szCs w:val="22"/>
        </w:rPr>
        <w:t xml:space="preserve">Projection Layers (fc_h, fc_c): </w:t>
      </w:r>
    </w:p>
    <w:p>
      <w:pPr>
        <w:spacing w:after="60" w:before="60"/>
      </w:pPr>
      <w:r>
        <w:t xml:space="preserve"/>
      </w:r>
    </w:p>
    <w:p>
      <w:pPr>
        <w:spacing w:after="40" w:before="40"/>
        <w:ind w:left="720"/>
      </w:pPr>
      <w:r>
        <w:rPr>
          <w:rFonts w:ascii="Courier New" w:cs="Courier New" w:eastAsia="Courier New" w:hAnsi="Courier New"/>
          <w:color w:val="2D6A2D"/>
          <w:sz w:val="18"/>
          <w:szCs w:val="18"/>
        </w:rPr>
        <w:t xml:space="preserve">class BiLSTMEncoder(nn.Module):</w:t>
      </w:r>
    </w:p>
    <w:p>
      <w:pPr>
        <w:spacing w:after="40" w:before="40"/>
        <w:ind w:left="720"/>
      </w:pPr>
      <w:r>
        <w:rPr>
          <w:rFonts w:ascii="Courier New" w:cs="Courier New" w:eastAsia="Courier New" w:hAnsi="Courier New"/>
          <w:color w:val="2D6A2D"/>
          <w:sz w:val="18"/>
          <w:szCs w:val="18"/>
        </w:rPr>
        <w:t xml:space="preserve">    self.h0 = nn.Parameter(torch.zeros(n_layers*2, 1, hidden_dim))  # learnable</w:t>
      </w:r>
    </w:p>
    <w:p>
      <w:pPr>
        <w:spacing w:after="40" w:before="40"/>
        <w:ind w:left="720"/>
      </w:pPr>
      <w:r>
        <w:rPr>
          <w:rFonts w:ascii="Courier New" w:cs="Courier New" w:eastAsia="Courier New" w:hAnsi="Courier New"/>
          <w:color w:val="2D6A2D"/>
          <w:sz w:val="18"/>
          <w:szCs w:val="18"/>
        </w:rPr>
        <w:t xml:space="preserve">    self.rnn = nn.LSTM(embed_dim, hidden_dim, n_layers, bidirectional=True)</w:t>
      </w:r>
    </w:p>
    <w:p>
      <w:pPr>
        <w:spacing w:after="40" w:before="40"/>
        <w:ind w:left="720"/>
      </w:pPr>
      <w:r>
        <w:rPr>
          <w:rFonts w:ascii="Courier New" w:cs="Courier New" w:eastAsia="Courier New" w:hAnsi="Courier New"/>
          <w:color w:val="2D6A2D"/>
          <w:sz w:val="18"/>
          <w:szCs w:val="18"/>
        </w:rPr>
        <w:t xml:space="preserve">    self.fc_h = nn.Linear(hidden_dim*2, hidden_dim)  # merge fwd+bwd</w:t>
      </w:r>
    </w:p>
    <w:p>
      <w:pPr>
        <w:spacing w:after="60" w:before="60"/>
      </w:pPr>
      <w:r>
        <w:t xml:space="preserve"/>
      </w:r>
    </w:p>
    <w:p>
      <w:pPr>
        <w:pStyle w:val="Heading2"/>
        <w:spacing w:after="120" w:before="240"/>
      </w:pPr>
      <w:r>
        <w:rPr>
          <w:rFonts w:ascii="Arial" w:cs="Arial" w:eastAsia="Arial" w:hAnsi="Arial"/>
          <w:b/>
          <w:bCs/>
          <w:sz w:val="26"/>
          <w:szCs w:val="26"/>
        </w:rPr>
        <w:t xml:space="preserve">2.4  Key Module: Bahdanau Attention</w:t>
      </w:r>
    </w:p>
    <w:p>
      <w:pPr>
        <w:spacing w:after="60" w:before="60"/>
        <w:jc w:val="both"/>
      </w:pPr>
      <w:r>
        <w:rPr>
          <w:rFonts w:ascii="Arial" w:cs="Arial" w:eastAsia="Arial" w:hAnsi="Arial"/>
          <w:sz w:val="22"/>
          <w:szCs w:val="22"/>
        </w:rPr>
        <w:t xml:space="preserve">The BahdanauAttention module (Section 3.2) implements additive attention using three learned linear transformations:</w:t>
      </w:r>
    </w:p>
    <w:p>
      <w:pPr>
        <w:pStyle w:val="ListParagraph"/>
        <w:numPr>
          <w:ilvl w:val="0"/>
          <w:numId w:val="2"/>
        </w:numPr>
        <w:spacing w:after="40" w:before="40"/>
      </w:pPr>
      <w:r>
        <w:rPr>
          <w:rFonts w:ascii="Arial" w:cs="Arial" w:eastAsia="Arial" w:hAnsi="Arial"/>
          <w:b/>
          <w:bCs/>
          <w:sz w:val="22"/>
          <w:szCs w:val="22"/>
        </w:rPr>
        <w:t xml:space="preserve">Projects each encoder hidden state [src_len, enc_out_dim] → [src_len, dec_hid_dim].</w:t>
      </w:r>
      <w:r>
        <w:rPr>
          <w:rFonts w:ascii="Arial" w:cs="Arial" w:eastAsia="Arial" w:hAnsi="Arial"/>
          <w:sz w:val="22"/>
          <w:szCs w:val="22"/>
        </w:rPr>
        <w:t xml:space="preserve">W1: </w:t>
      </w:r>
    </w:p>
    <w:p>
      <w:pPr>
        <w:pStyle w:val="ListParagraph"/>
        <w:numPr>
          <w:ilvl w:val="0"/>
          <w:numId w:val="2"/>
        </w:numPr>
        <w:spacing w:after="40" w:before="40"/>
      </w:pPr>
      <w:r>
        <w:rPr>
          <w:rFonts w:ascii="Arial" w:cs="Arial" w:eastAsia="Arial" w:hAnsi="Arial"/>
          <w:b/>
          <w:bCs/>
          <w:sz w:val="22"/>
          <w:szCs w:val="22"/>
        </w:rPr>
        <w:t xml:space="preserve">Projects the current decoder hidden state [dec_hid_dim] → [src_len, dec_hid_dim] (broadcast).</w:t>
      </w:r>
      <w:r>
        <w:rPr>
          <w:rFonts w:ascii="Arial" w:cs="Arial" w:eastAsia="Arial" w:hAnsi="Arial"/>
          <w:sz w:val="22"/>
          <w:szCs w:val="22"/>
        </w:rPr>
        <w:t xml:space="preserve">W2: </w:t>
      </w:r>
    </w:p>
    <w:p>
      <w:pPr>
        <w:pStyle w:val="ListParagraph"/>
        <w:numPr>
          <w:ilvl w:val="0"/>
          <w:numId w:val="2"/>
        </w:numPr>
        <w:spacing w:after="40" w:before="40"/>
      </w:pPr>
      <w:r>
        <w:rPr>
          <w:rFonts w:ascii="Arial" w:cs="Arial" w:eastAsia="Arial" w:hAnsi="Arial"/>
          <w:b/>
          <w:bCs/>
          <w:sz w:val="22"/>
          <w:szCs w:val="22"/>
        </w:rPr>
        <w:t xml:space="preserve">A learned vector that collapses the tanh output to a scalar score per source token.</w:t>
      </w:r>
      <w:r>
        <w:rPr>
          <w:rFonts w:ascii="Arial" w:cs="Arial" w:eastAsia="Arial" w:hAnsi="Arial"/>
          <w:sz w:val="22"/>
          <w:szCs w:val="22"/>
        </w:rPr>
        <w:t xml:space="preserve">v: </w:t>
      </w:r>
    </w:p>
    <w:p>
      <w:pPr>
        <w:pStyle w:val="ListParagraph"/>
        <w:numPr>
          <w:ilvl w:val="0"/>
          <w:numId w:val="2"/>
        </w:numPr>
        <w:spacing w:after="40" w:before="40"/>
      </w:pPr>
      <w:r>
        <w:rPr>
          <w:rFonts w:ascii="Arial" w:cs="Arial" w:eastAsia="Arial" w:hAnsi="Arial"/>
          <w:b/>
          <w:bCs/>
          <w:sz w:val="22"/>
          <w:szCs w:val="22"/>
        </w:rPr>
        <w:t xml:space="preserve">Attention weights are normalized across source positions; the context vector is the weighted sum of encoder outputs.</w:t>
      </w:r>
      <w:r>
        <w:rPr>
          <w:rFonts w:ascii="Arial" w:cs="Arial" w:eastAsia="Arial" w:hAnsi="Arial"/>
          <w:sz w:val="22"/>
          <w:szCs w:val="22"/>
        </w:rPr>
        <w:t xml:space="preserve">Softmax + Weighted Sum: </w:t>
      </w:r>
    </w:p>
    <w:p>
      <w:pPr>
        <w:spacing w:after="60" w:before="60"/>
      </w:pPr>
      <w:r>
        <w:t xml:space="preserve"/>
      </w:r>
    </w:p>
    <w:p>
      <w:pPr>
        <w:spacing w:after="40" w:before="40"/>
        <w:ind w:left="720"/>
      </w:pPr>
      <w:r>
        <w:rPr>
          <w:rFonts w:ascii="Courier New" w:cs="Courier New" w:eastAsia="Courier New" w:hAnsi="Courier New"/>
          <w:color w:val="2D6A2D"/>
          <w:sz w:val="18"/>
          <w:szCs w:val="18"/>
        </w:rPr>
        <w:t xml:space="preserve">energy = torch.tanh(self.W1(enc_2d) + self.W2(dec_2d))  # [src_len, hid]</w:t>
      </w:r>
    </w:p>
    <w:p>
      <w:pPr>
        <w:spacing w:after="40" w:before="40"/>
        <w:ind w:left="720"/>
      </w:pPr>
      <w:r>
        <w:rPr>
          <w:rFonts w:ascii="Courier New" w:cs="Courier New" w:eastAsia="Courier New" w:hAnsi="Courier New"/>
          <w:color w:val="2D6A2D"/>
          <w:sz w:val="18"/>
          <w:szCs w:val="18"/>
        </w:rPr>
        <w:t xml:space="preserve">scores = self.v(energy)                                   # [src_len, 1]</w:t>
      </w:r>
    </w:p>
    <w:p>
      <w:pPr>
        <w:spacing w:after="40" w:before="40"/>
        <w:ind w:left="720"/>
      </w:pPr>
      <w:r>
        <w:rPr>
          <w:rFonts w:ascii="Courier New" w:cs="Courier New" w:eastAsia="Courier New" w:hAnsi="Courier New"/>
          <w:color w:val="2D6A2D"/>
          <w:sz w:val="18"/>
          <w:szCs w:val="18"/>
        </w:rPr>
        <w:t xml:space="preserve">attn_weights = torch.softmax(scores, dim=0)              # normalized</w:t>
      </w:r>
    </w:p>
    <w:p>
      <w:pPr>
        <w:spacing w:after="40" w:before="40"/>
        <w:ind w:left="720"/>
      </w:pPr>
      <w:r>
        <w:rPr>
          <w:rFonts w:ascii="Courier New" w:cs="Courier New" w:eastAsia="Courier New" w:hAnsi="Courier New"/>
          <w:color w:val="2D6A2D"/>
          <w:sz w:val="18"/>
          <w:szCs w:val="18"/>
        </w:rPr>
        <w:t xml:space="preserve">context = (attn_weights * enc_2d).sum(dim=0, keepdim=True)</w:t>
      </w:r>
    </w:p>
    <w:p>
      <w:pPr>
        <w:spacing w:after="60" w:before="60"/>
      </w:pPr>
      <w:r>
        <w:t xml:space="preserve"/>
      </w:r>
    </w:p>
    <w:p>
      <w:pPr>
        <w:pStyle w:val="Heading2"/>
        <w:spacing w:after="120" w:before="240"/>
      </w:pPr>
      <w:r>
        <w:rPr>
          <w:rFonts w:ascii="Arial" w:cs="Arial" w:eastAsia="Arial" w:hAnsi="Arial"/>
          <w:b/>
          <w:bCs/>
          <w:sz w:val="26"/>
          <w:szCs w:val="26"/>
        </w:rPr>
        <w:t xml:space="preserve">2.5  Key Module: Attention Decoder</w:t>
      </w:r>
    </w:p>
    <w:p>
      <w:pPr>
        <w:spacing w:after="60" w:before="60"/>
        <w:jc w:val="both"/>
      </w:pPr>
      <w:r>
        <w:rPr>
          <w:rFonts w:ascii="Arial" w:cs="Arial" w:eastAsia="Arial" w:hAnsi="Arial"/>
          <w:sz w:val="22"/>
          <w:szCs w:val="22"/>
        </w:rPr>
        <w:t xml:space="preserve">The AttentionDecoder (Section 3.3) receives at each step: the previous output token, the current decoder hidden/cell state, and all encoder outputs. It:</w:t>
      </w:r>
    </w:p>
    <w:p>
      <w:pPr>
        <w:pStyle w:val="ListParagraph"/>
        <w:numPr>
          <w:ilvl w:val="0"/>
          <w:numId w:val="2"/>
        </w:numPr>
        <w:spacing w:after="40" w:before="40"/>
      </w:pPr>
      <w:r>
        <w:rPr>
          <w:rFonts w:ascii="Arial" w:cs="Arial" w:eastAsia="Arial" w:hAnsi="Arial"/>
          <w:sz w:val="22"/>
          <w:szCs w:val="22"/>
        </w:rPr>
        <w:t xml:space="preserve">Embeds the previous token.</w:t>
      </w:r>
    </w:p>
    <w:p>
      <w:pPr>
        <w:pStyle w:val="ListParagraph"/>
        <w:numPr>
          <w:ilvl w:val="0"/>
          <w:numId w:val="2"/>
        </w:numPr>
        <w:spacing w:after="40" w:before="40"/>
      </w:pPr>
      <w:r>
        <w:rPr>
          <w:rFonts w:ascii="Arial" w:cs="Arial" w:eastAsia="Arial" w:hAnsi="Arial"/>
          <w:sz w:val="22"/>
          <w:szCs w:val="22"/>
        </w:rPr>
        <w:t xml:space="preserve">Calls BahdanauAttention to compute the current context vector.</w:t>
      </w:r>
    </w:p>
    <w:p>
      <w:pPr>
        <w:pStyle w:val="ListParagraph"/>
        <w:numPr>
          <w:ilvl w:val="0"/>
          <w:numId w:val="2"/>
        </w:numPr>
        <w:spacing w:after="40" w:before="40"/>
      </w:pPr>
      <w:r>
        <w:rPr>
          <w:rFonts w:ascii="Arial" w:cs="Arial" w:eastAsia="Arial" w:hAnsi="Arial"/>
          <w:sz w:val="22"/>
          <w:szCs w:val="22"/>
        </w:rPr>
        <w:t xml:space="preserve">Concatenates [embedding, context] as LSTM input.</w:t>
      </w:r>
    </w:p>
    <w:p>
      <w:pPr>
        <w:pStyle w:val="ListParagraph"/>
        <w:numPr>
          <w:ilvl w:val="0"/>
          <w:numId w:val="2"/>
        </w:numPr>
        <w:spacing w:after="40" w:before="40"/>
      </w:pPr>
      <w:r>
        <w:rPr>
          <w:rFonts w:ascii="Arial" w:cs="Arial" w:eastAsia="Arial" w:hAnsi="Arial"/>
          <w:sz w:val="22"/>
          <w:szCs w:val="22"/>
        </w:rPr>
        <w:t xml:space="preserve">Produces logits from a linear projection over [LSTM output, context, embedding] — the three-way concatenation as described in the paper.</w:t>
      </w:r>
    </w:p>
    <w:p>
      <w:pPr>
        <w:spacing w:after="60" w:before="60"/>
      </w:pPr>
      <w:r>
        <w:t xml:space="preserve"/>
      </w:r>
    </w:p>
    <w:p>
      <w:pPr>
        <w:pStyle w:val="Heading2"/>
        <w:spacing w:after="120" w:before="240"/>
      </w:pPr>
      <w:r>
        <w:rPr>
          <w:rFonts w:ascii="Arial" w:cs="Arial" w:eastAsia="Arial" w:hAnsi="Arial"/>
          <w:b/>
          <w:bCs/>
          <w:sz w:val="26"/>
          <w:szCs w:val="26"/>
        </w:rPr>
        <w:t xml:space="preserve">2.6  Baseline: No-Attention Decoder</w:t>
      </w:r>
    </w:p>
    <w:p>
      <w:pPr>
        <w:spacing w:after="60" w:before="60"/>
        <w:jc w:val="both"/>
      </w:pPr>
      <w:r>
        <w:rPr>
          <w:rFonts w:ascii="Arial" w:cs="Arial" w:eastAsia="Arial" w:hAnsi="Arial"/>
          <w:sz w:val="22"/>
          <w:szCs w:val="22"/>
        </w:rPr>
        <w:t xml:space="preserve">The PlainDecoder replaces dynamic attention with a fixed context vector computed as the mean of all encoder outputs:</w:t>
      </w:r>
    </w:p>
    <w:p>
      <w:pPr>
        <w:spacing w:after="60" w:before="60"/>
      </w:pPr>
      <w:r>
        <w:t xml:space="preserve"/>
      </w:r>
    </w:p>
    <w:p>
      <w:pPr>
        <w:spacing w:after="40" w:before="40"/>
        <w:ind w:left="720"/>
      </w:pPr>
      <w:r>
        <w:rPr>
          <w:rFonts w:ascii="Courier New" w:cs="Courier New" w:eastAsia="Courier New" w:hAnsi="Courier New"/>
          <w:color w:val="2D6A2D"/>
          <w:sz w:val="18"/>
          <w:szCs w:val="18"/>
        </w:rPr>
        <w:t xml:space="preserve">context = enc_out.squeeze(1).mean(dim=0, keepdim=True)  # [1, 2*hidden]</w:t>
      </w:r>
    </w:p>
    <w:p>
      <w:pPr>
        <w:spacing w:after="60" w:before="60"/>
        <w:jc w:val="both"/>
      </w:pPr>
      <w:r>
        <w:rPr>
          <w:rFonts w:ascii="Arial" w:cs="Arial" w:eastAsia="Arial" w:hAnsi="Arial"/>
          <w:sz w:val="22"/>
          <w:szCs w:val="22"/>
        </w:rPr>
        <w:t xml:space="preserve">This single vector is reused unchanged at every decoder step, creating the classic information bottleneck that the attention mechanism is designed to eliminate.</w:t>
      </w:r>
    </w:p>
    <w:p>
      <w:pPr>
        <w:spacing w:after="60" w:before="60"/>
      </w:pPr>
      <w:r>
        <w:t xml:space="preserve"/>
      </w:r>
    </w:p>
    <w:p>
      <w:pPr>
        <w:pStyle w:val="Heading2"/>
        <w:spacing w:after="120" w:before="240"/>
      </w:pPr>
      <w:r>
        <w:rPr>
          <w:rFonts w:ascii="Arial" w:cs="Arial" w:eastAsia="Arial" w:hAnsi="Arial"/>
          <w:b/>
          <w:bCs/>
          <w:sz w:val="26"/>
          <w:szCs w:val="26"/>
        </w:rPr>
        <w:t xml:space="preserve">2.7  Training Pipeline</w:t>
      </w:r>
    </w:p>
    <w:p>
      <w:pPr>
        <w:spacing w:after="60" w:before="60"/>
        <w:jc w:val="both"/>
      </w:pPr>
      <w:r>
        <w:rPr>
          <w:rFonts w:ascii="Arial" w:cs="Arial" w:eastAsia="Arial" w:hAnsi="Arial"/>
          <w:sz w:val="22"/>
          <w:szCs w:val="22"/>
        </w:rPr>
        <w:t xml:space="preserve">Both models are trained under identical conditions for fair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Embedding Dimension</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64</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Reduced from paper's 128 for Colab speed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Dimension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BiLSTM hidden size; encoder output = 256</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Number of Layers</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Single-layer LSTM for both encoder and decoder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to embeddings and LSTM inputs</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0.001</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Adam optimizer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Epochs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Sufficient for clear convergence difference</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Gradient Clipping</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Prevents exploding gradients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Teacher Forcing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teacher forcing during training</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Loss Function</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CrossEntropyLoss</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Padding tokens (idx=0) ignored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sentence pair per gradient update</w:t>
            </w:r>
          </w:p>
        </w:tc>
      </w:tr>
    </w:tbl>
    <w:p>
      <w:pPr>
        <w:spacing w:after="60" w:before="60"/>
      </w:pPr>
      <w:r>
        <w:t xml:space="preserve"/>
      </w:r>
    </w:p>
    <w:p>
      <w:pPr>
        <w:pStyle w:val="Heading2"/>
        <w:spacing w:after="120" w:before="240"/>
      </w:pPr>
      <w:r>
        <w:rPr>
          <w:rFonts w:ascii="Arial" w:cs="Arial" w:eastAsia="Arial" w:hAnsi="Arial"/>
          <w:b/>
          <w:bCs/>
          <w:sz w:val="26"/>
          <w:szCs w:val="26"/>
        </w:rPr>
        <w:t xml:space="preserve">2.8  Execution Screenshots</w:t>
      </w:r>
    </w:p>
    <w:p>
      <w:pPr>
        <w:spacing w:after="60" w:before="60"/>
        <w:jc w:val="both"/>
      </w:pPr>
      <w:r>
        <w:rPr>
          <w:rFonts w:ascii="Arial" w:cs="Arial" w:eastAsia="Arial" w:hAnsi="Arial"/>
          <w:sz w:val="22"/>
          <w:szCs w:val="22"/>
        </w:rPr>
        <w:t xml:space="preserve">The following outputs were captured during Colab execution (see attached PDF for full screenshots):</w:t>
      </w:r>
    </w:p>
    <w:p>
      <w:pPr>
        <w:pStyle w:val="ListParagraph"/>
        <w:numPr>
          <w:ilvl w:val="0"/>
          <w:numId w:val="2"/>
        </w:numPr>
        <w:spacing w:after="40" w:before="40"/>
      </w:pPr>
      <w:r>
        <w:rPr>
          <w:rFonts w:ascii="Arial" w:cs="Arial" w:eastAsia="Arial" w:hAnsi="Arial"/>
          <w:sz w:val="22"/>
          <w:szCs w:val="22"/>
        </w:rPr>
        <w:t xml:space="preserve">GPU detected: Tesla T4, PyTorch 2.3.0+cu118</w:t>
      </w:r>
    </w:p>
    <w:p>
      <w:pPr>
        <w:pStyle w:val="ListParagraph"/>
        <w:numPr>
          <w:ilvl w:val="0"/>
          <w:numId w:val="2"/>
        </w:numPr>
        <w:spacing w:after="40" w:before="40"/>
      </w:pPr>
      <w:r>
        <w:rPr>
          <w:rFonts w:ascii="Arial" w:cs="Arial" w:eastAsia="Arial" w:hAnsi="Arial"/>
          <w:sz w:val="22"/>
          <w:szCs w:val="22"/>
        </w:rPr>
        <w:t xml:space="preserve">Tatoeba EN-FR corpus downloaded: 275,413 total pairs; 500 filtered pairs loaded</w:t>
      </w:r>
    </w:p>
    <w:p>
      <w:pPr>
        <w:pStyle w:val="ListParagraph"/>
        <w:numPr>
          <w:ilvl w:val="0"/>
          <w:numId w:val="2"/>
        </w:numPr>
        <w:spacing w:after="40" w:before="40"/>
      </w:pPr>
      <w:r>
        <w:rPr>
          <w:rFonts w:ascii="Arial" w:cs="Arial" w:eastAsia="Arial" w:hAnsi="Arial"/>
          <w:sz w:val="22"/>
          <w:szCs w:val="22"/>
        </w:rPr>
        <w:t xml:space="preserve">Source Vocabulary: 441 tokens | Target Vocabulary: 419 tokens</w:t>
      </w:r>
    </w:p>
    <w:p>
      <w:pPr>
        <w:pStyle w:val="ListParagraph"/>
        <w:numPr>
          <w:ilvl w:val="0"/>
          <w:numId w:val="2"/>
        </w:numPr>
        <w:spacing w:after="40" w:before="40"/>
      </w:pPr>
      <w:r>
        <w:rPr>
          <w:rFonts w:ascii="Arial" w:cs="Arial" w:eastAsia="Arial" w:hAnsi="Arial"/>
          <w:sz w:val="22"/>
          <w:szCs w:val="22"/>
        </w:rPr>
        <w:t xml:space="preserve">Train pairs: 400 | Test pairs: 100</w:t>
      </w:r>
    </w:p>
    <w:p>
      <w:pPr>
        <w:pStyle w:val="ListParagraph"/>
        <w:numPr>
          <w:ilvl w:val="0"/>
          <w:numId w:val="2"/>
        </w:numPr>
        <w:spacing w:after="40" w:before="40"/>
      </w:pPr>
      <w:r>
        <w:rPr>
          <w:rFonts w:ascii="Arial" w:cs="Arial" w:eastAsia="Arial" w:hAnsi="Arial"/>
          <w:sz w:val="22"/>
          <w:szCs w:val="22"/>
        </w:rPr>
        <w:t xml:space="preserve">Model architectures printed showing parameter counts: 787,811 (with attention) and 604,451 (without)</w:t>
      </w:r>
    </w:p>
    <w:p>
      <w:pPr>
        <w:pStyle w:val="ListParagraph"/>
        <w:numPr>
          <w:ilvl w:val="0"/>
          <w:numId w:val="2"/>
        </w:numPr>
        <w:spacing w:after="40" w:before="40"/>
      </w:pPr>
      <w:r>
        <w:rPr>
          <w:rFonts w:ascii="Arial" w:cs="Arial" w:eastAsia="Arial" w:hAnsi="Arial"/>
          <w:sz w:val="22"/>
          <w:szCs w:val="22"/>
        </w:rPr>
        <w:t xml:space="preserve">Training logs for both models across 30 epochs with Train Loss, Val Loss, and PPL columns</w:t>
      </w:r>
    </w:p>
    <w:p>
      <w:pPr>
        <w:pStyle w:val="ListParagraph"/>
        <w:numPr>
          <w:ilvl w:val="0"/>
          <w:numId w:val="2"/>
        </w:numPr>
        <w:spacing w:after="40" w:before="40"/>
      </w:pPr>
      <w:r>
        <w:rPr>
          <w:rFonts w:ascii="Arial" w:cs="Arial" w:eastAsia="Arial" w:hAnsi="Arial"/>
          <w:sz w:val="22"/>
          <w:szCs w:val="22"/>
        </w:rPr>
        <w:t xml:space="preserve">Translation output comparison table and performance bar charts generated</w:t>
      </w:r>
    </w:p>
    <w:p>
      <w:r>
        <w:br w:type="page"/>
      </w:r>
    </w:p>
    <w:p>
      <w:pPr>
        <w:pStyle w:val="Heading1"/>
        <w:spacing w:after="180" w:before="360"/>
      </w:pPr>
      <w:r>
        <w:rPr>
          <w:rFonts w:ascii="Arial" w:cs="Arial" w:eastAsia="Arial" w:hAnsi="Arial"/>
          <w:b/>
          <w:bCs/>
          <w:sz w:val="32"/>
          <w:szCs w:val="32"/>
        </w:rPr>
        <w:t xml:space="preserve">Part 3: Implementation Extension — With vs. Without Attention</w:t>
      </w:r>
    </w:p>
    <w:p>
      <w:pPr>
        <w:pStyle w:val="Heading2"/>
        <w:spacing w:after="120" w:before="240"/>
      </w:pPr>
      <w:r>
        <w:rPr>
          <w:rFonts w:ascii="Arial" w:cs="Arial" w:eastAsia="Arial" w:hAnsi="Arial"/>
          <w:b/>
          <w:bCs/>
          <w:sz w:val="26"/>
          <w:szCs w:val="26"/>
        </w:rPr>
        <w:t xml:space="preserve">3.1  Model Modifications</w:t>
      </w:r>
    </w:p>
    <w:p>
      <w:pPr>
        <w:spacing w:after="80" w:before="180"/>
      </w:pPr>
      <w:r>
        <w:rPr>
          <w:rFonts w:ascii="Arial" w:cs="Arial" w:eastAsia="Arial" w:hAnsi="Arial"/>
          <w:b/>
          <w:bCs/>
          <w:color w:val="1F5C99"/>
          <w:sz w:val="24"/>
          <w:szCs w:val="24"/>
        </w:rPr>
        <w:t xml:space="preserve">With Attention (BiLSTM + Bahdanau)</w:t>
      </w:r>
    </w:p>
    <w:p>
      <w:pPr>
        <w:spacing w:after="60" w:before="60"/>
        <w:jc w:val="both"/>
      </w:pPr>
      <w:r>
        <w:rPr>
          <w:rFonts w:ascii="Arial" w:cs="Arial" w:eastAsia="Arial" w:hAnsi="Arial"/>
          <w:sz w:val="22"/>
          <w:szCs w:val="22"/>
        </w:rPr>
        <w:t xml:space="preserve">The attention model uses the full architecture as described in the paper. At each decoder step t, a context vector c_t is computed dynamically:</w:t>
      </w:r>
    </w:p>
    <w:p>
      <w:pPr>
        <w:spacing w:after="40" w:before="40"/>
        <w:ind w:left="720"/>
      </w:pPr>
      <w:r>
        <w:rPr>
          <w:rFonts w:ascii="Courier New" w:cs="Courier New" w:eastAsia="Courier New" w:hAnsi="Courier New"/>
          <w:color w:val="2D6A2D"/>
          <w:sz w:val="18"/>
          <w:szCs w:val="18"/>
        </w:rPr>
        <w:t xml:space="preserve">c_t = Σ alpha_{t,i} · h_i     where alpha = softmax(v · tanh(W1·h + W2·s_t))</w:t>
      </w:r>
    </w:p>
    <w:p>
      <w:pPr>
        <w:spacing w:after="60" w:before="60"/>
        <w:jc w:val="both"/>
      </w:pPr>
      <w:r>
        <w:rPr>
          <w:rFonts w:ascii="Arial" w:cs="Arial" w:eastAsia="Arial" w:hAnsi="Arial"/>
          <w:sz w:val="22"/>
          <w:szCs w:val="22"/>
        </w:rPr>
        <w:t xml:space="preserve">The decoder receives [embed(y_{t-1}), c_t] as LSTM input and produces logits from [LSTM_out, c_t, embed(y_{t-1})]. Total parameters: 787,811.</w:t>
      </w:r>
    </w:p>
    <w:p>
      <w:pPr>
        <w:spacing w:after="60" w:before="60"/>
      </w:pPr>
      <w:r>
        <w:t xml:space="preserve"/>
      </w:r>
    </w:p>
    <w:p>
      <w:pPr>
        <w:spacing w:after="80" w:before="180"/>
      </w:pPr>
      <w:r>
        <w:rPr>
          <w:rFonts w:ascii="Arial" w:cs="Arial" w:eastAsia="Arial" w:hAnsi="Arial"/>
          <w:b/>
          <w:bCs/>
          <w:color w:val="1F5C99"/>
          <w:sz w:val="24"/>
          <w:szCs w:val="24"/>
        </w:rPr>
        <w:t xml:space="preserve">Without Attention (Vanilla Seq2Seq — Baseline)</w:t>
      </w:r>
    </w:p>
    <w:p>
      <w:pPr>
        <w:spacing w:after="60" w:before="60"/>
        <w:jc w:val="both"/>
      </w:pPr>
      <w:r>
        <w:rPr>
          <w:rFonts w:ascii="Arial" w:cs="Arial" w:eastAsia="Arial" w:hAnsi="Arial"/>
          <w:sz w:val="22"/>
          <w:szCs w:val="22"/>
        </w:rPr>
        <w:t xml:space="preserve">The no-attention model uses the same BiLSTM encoder but the decoder receives a single fixed context vector (mean of encoder outputs) at every step, regardless of what is being generated:</w:t>
      </w:r>
    </w:p>
    <w:p>
      <w:pPr>
        <w:spacing w:after="40" w:before="40"/>
        <w:ind w:left="720"/>
      </w:pPr>
      <w:r>
        <w:rPr>
          <w:rFonts w:ascii="Courier New" w:cs="Courier New" w:eastAsia="Courier New" w:hAnsi="Courier New"/>
          <w:color w:val="2D6A2D"/>
          <w:sz w:val="18"/>
          <w:szCs w:val="18"/>
        </w:rPr>
        <w:t xml:space="preserve">context = mean(h_1, h_2, ..., h_T)   ← computed once, reused every step</w:t>
      </w:r>
    </w:p>
    <w:p>
      <w:pPr>
        <w:spacing w:after="60" w:before="60"/>
        <w:jc w:val="both"/>
      </w:pPr>
      <w:r>
        <w:rPr>
          <w:rFonts w:ascii="Arial" w:cs="Arial" w:eastAsia="Arial" w:hAnsi="Arial"/>
          <w:sz w:val="22"/>
          <w:szCs w:val="22"/>
        </w:rPr>
        <w:t xml:space="preserve">This is the classical information bottleneck. Total parameters: 604,451.</w:t>
      </w:r>
    </w:p>
    <w:p>
      <w:pPr>
        <w:spacing w:after="60" w:before="60"/>
      </w:pPr>
      <w:r>
        <w:t xml:space="preserve"/>
      </w:r>
    </w:p>
    <w:p>
      <w:pPr>
        <w:pStyle w:val="Heading2"/>
        <w:spacing w:after="120" w:before="240"/>
      </w:pPr>
      <w:r>
        <w:rPr>
          <w:rFonts w:ascii="Arial" w:cs="Arial" w:eastAsia="Arial" w:hAnsi="Arial"/>
          <w:b/>
          <w:bCs/>
          <w:sz w:val="26"/>
          <w:szCs w:val="26"/>
        </w:rPr>
        <w:t xml:space="preserve">3.2  Comparison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160"/>
      </w:tblGrid>
      <w:tr>
        <w:trPr>
          <w:tblHeader/>
        </w:trPr>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With Attention (BiLSTM)</w:t>
            </w:r>
          </w:p>
        </w:tc>
        <w:tc>
          <w:tcPr>
            <w:tcW w:type="dxa" w:w="3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Without Attention (Vanilla)</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Final Train Loss</w:t>
            </w:r>
          </w:p>
        </w:tc>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0.5092</w:t>
            </w:r>
          </w:p>
        </w:tc>
        <w:tc>
          <w:tcPr>
            <w:tcW w:type="dxa" w:w="3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0.6195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Validation Loss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5.4683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4.5422</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Val Perplexity (lower = better)</w:t>
            </w:r>
          </w:p>
        </w:tc>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237.05</w:t>
            </w:r>
          </w:p>
        </w:tc>
        <w:tc>
          <w:tcPr>
            <w:tcW w:type="dxa" w:w="3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93.90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Unigram BLEU Score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0.4896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0.4479</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Training Time (seconds)</w:t>
            </w:r>
          </w:p>
        </w:tc>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286.2 s</w:t>
            </w:r>
          </w:p>
        </w:tc>
        <w:tc>
          <w:tcPr>
            <w:tcW w:type="dxa" w:w="3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190.1 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Trainable Parameters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787,811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604,451</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Context Type</w:t>
            </w:r>
          </w:p>
        </w:tc>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Dynamic (per-step attention)</w:t>
            </w:r>
          </w:p>
        </w:tc>
        <w:tc>
          <w:tcPr>
            <w:tcW w:type="dxa" w:w="3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Fixed (mean vector)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Tatoeba EN-FR (500 pairs)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Tatoeba EN-FR (500 pairs)</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Encoder</w:t>
            </w:r>
          </w:p>
        </w:tc>
        <w:tc>
          <w:tcPr>
            <w:tcW w:type="dxa" w:w="2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BiLSTM (learnable init states)</w:t>
            </w:r>
          </w:p>
        </w:tc>
        <w:tc>
          <w:tcPr>
            <w:tcW w:type="dxa" w:w="3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BiLSTM (learnable init states)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 Type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Bahdanau (Additive)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pPr>
        <w:spacing w:after="60" w:before="60"/>
      </w:pPr>
      <w:r>
        <w:t xml:space="preserve"/>
      </w:r>
    </w:p>
    <w:p>
      <w:pPr>
        <w:pStyle w:val="Heading2"/>
        <w:spacing w:after="120" w:before="240"/>
      </w:pPr>
      <w:r>
        <w:rPr>
          <w:rFonts w:ascii="Arial" w:cs="Arial" w:eastAsia="Arial" w:hAnsi="Arial"/>
          <w:b/>
          <w:bCs/>
          <w:sz w:val="26"/>
          <w:szCs w:val="26"/>
        </w:rPr>
        <w:t xml:space="preserve">3.3  Translation Output Samples</w:t>
      </w:r>
    </w:p>
    <w:p>
      <w:pPr>
        <w:spacing w:after="60" w:before="60"/>
        <w:jc w:val="both"/>
      </w:pPr>
      <w:r>
        <w:rPr>
          <w:rFonts w:ascii="Arial" w:cs="Arial" w:eastAsia="Arial" w:hAnsi="Arial"/>
          <w:sz w:val="22"/>
          <w:szCs w:val="22"/>
        </w:rPr>
        <w:t xml:space="preserve">The following table shows side-by-side translations from 8 test sentences (captured from notebook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Source (EN)</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Reference (FR)</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With Attention</w:t>
            </w:r>
          </w:p>
        </w:tc>
        <w:tc>
          <w:tcPr>
            <w:tcW w:type="dxa" w:w="2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Without Attention</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Did you miss me?</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je t'ai manqué ?</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je &lt;unk&gt; manqué ?</w:t>
            </w:r>
          </w:p>
        </w:tc>
        <w:tc>
          <w:tcPr>
            <w:tcW w:type="dxa" w:w="2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je &lt;unk&gt; manqué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you miss 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T'ai-je manqué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 &lt;unk&gt; manqué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 &lt;unk&gt; manqué ?</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Are they all the same?</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Sont-ils tous identiques ?</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sont-ils tous les &lt;unk&gt; ?</w:t>
            </w:r>
          </w:p>
        </w:tc>
        <w:tc>
          <w:tcPr>
            <w:tcW w:type="dxa" w:w="2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sont-ils tous les &lt;unk&gt;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they all the same?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sont-ils tous les mêmes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sont-ils tous les &lt;unk&gt;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sont-ils tous les &lt;unk&gt; ?</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Thank you very much!</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Merci beaucoup !</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merci beaucoup !</w:t>
            </w:r>
          </w:p>
        </w:tc>
        <w:tc>
          <w:tcPr>
            <w:tcW w:type="dxa" w:w="2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merci &lt;unk&gt;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are the eggs, please?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 vous plaît, où sont les œufs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 vous plaît, où sont les œufs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 vous plaît, où sont les &lt;unk&gt; ?</w:t>
            </w:r>
          </w:p>
        </w:tc>
      </w:tr>
    </w:tbl>
    <w:p>
      <w:pPr>
        <w:spacing w:after="60" w:before="60"/>
      </w:pPr>
      <w:r>
        <w:t xml:space="preserve"/>
      </w:r>
    </w:p>
    <w:p>
      <w:pPr>
        <w:spacing w:after="60" w:before="60"/>
        <w:jc w:val="both"/>
      </w:pPr>
      <w:r>
        <w:rPr>
          <w:rFonts w:ascii="Arial" w:cs="Arial" w:eastAsia="Arial" w:hAnsi="Arial"/>
          <w:sz w:val="22"/>
          <w:szCs w:val="22"/>
        </w:rPr>
        <w:t xml:space="preserve">Note: &lt;unk&gt; tokens appear due to the small 500-pair vocabulary. The attention model correctly generates 'beaucoup' and 'œufs' in cases where the no-attention model produces &lt;unk&gt;, demonstrating the benefit of dynamic source alignment.</w:t>
      </w:r>
    </w:p>
    <w:p>
      <w:pPr>
        <w:spacing w:after="60" w:before="60"/>
      </w:pPr>
      <w:r>
        <w:t xml:space="preserve"/>
      </w:r>
    </w:p>
    <w:p>
      <w:pPr>
        <w:pStyle w:val="Heading2"/>
        <w:spacing w:after="120" w:before="240"/>
      </w:pPr>
      <w:r>
        <w:rPr>
          <w:rFonts w:ascii="Arial" w:cs="Arial" w:eastAsia="Arial" w:hAnsi="Arial"/>
          <w:b/>
          <w:bCs/>
          <w:sz w:val="26"/>
          <w:szCs w:val="26"/>
        </w:rPr>
        <w:t xml:space="preserve">3.4  Visualizations</w:t>
      </w:r>
    </w:p>
    <w:p>
      <w:pPr>
        <w:spacing w:after="80" w:before="180"/>
      </w:pPr>
      <w:r>
        <w:rPr>
          <w:rFonts w:ascii="Arial" w:cs="Arial" w:eastAsia="Arial" w:hAnsi="Arial"/>
          <w:b/>
          <w:bCs/>
          <w:color w:val="1F5C99"/>
          <w:sz w:val="24"/>
          <w:szCs w:val="24"/>
        </w:rPr>
        <w:t xml:space="preserve">Training &amp; Validation Loss Curves</w:t>
      </w:r>
    </w:p>
    <w:p>
      <w:pPr>
        <w:spacing w:after="60" w:before="60"/>
        <w:jc w:val="both"/>
      </w:pPr>
      <w:r>
        <w:rPr>
          <w:rFonts w:ascii="Arial" w:cs="Arial" w:eastAsia="Arial" w:hAnsi="Arial"/>
          <w:sz w:val="22"/>
          <w:szCs w:val="22"/>
        </w:rPr>
        <w:t xml:space="preserve">Both models show decreasing training loss across 30 epochs. The attention model (blue) reaches a lower final training loss (0.51 vs 0.62), indicating a stronger learning signal from the dynamic context. Validation loss is higher for the attention model due to overfitting on the 500-pair dataset — discussed further in Part 4.</w:t>
      </w:r>
    </w:p>
    <w:p>
      <w:pPr>
        <w:spacing w:after="60" w:before="60"/>
      </w:pPr>
      <w:r>
        <w:t xml:space="preserve"/>
      </w:r>
    </w:p>
    <w:p>
      <w:pPr>
        <w:spacing w:after="80" w:before="180"/>
      </w:pPr>
      <w:r>
        <w:rPr>
          <w:rFonts w:ascii="Arial" w:cs="Arial" w:eastAsia="Arial" w:hAnsi="Arial"/>
          <w:b/>
          <w:bCs/>
          <w:color w:val="1F5C99"/>
          <w:sz w:val="24"/>
          <w:szCs w:val="24"/>
        </w:rPr>
        <w:t xml:space="preserve">Attention Heatmaps</w:t>
      </w:r>
    </w:p>
    <w:p>
      <w:pPr>
        <w:spacing w:after="60" w:before="60"/>
        <w:jc w:val="both"/>
      </w:pPr>
      <w:r>
        <w:rPr>
          <w:rFonts w:ascii="Arial" w:cs="Arial" w:eastAsia="Arial" w:hAnsi="Arial"/>
          <w:sz w:val="22"/>
          <w:szCs w:val="22"/>
        </w:rPr>
        <w:t xml:space="preserve">The attention heatmaps for the sentence 'the cat is sleeping' show clear diagonal alignment patterns. Decoder steps focusing on 'le' (the) attend to 'the', steps generating 'chat' (cat) attend to 'cat', and steps generating the verb attend to 'sleeping'. This structured alignment is impossible in the no-attention model which sees only a single averaged vector throughout decoding.</w:t>
      </w:r>
    </w:p>
    <w:p>
      <w:r>
        <w:br w:type="page"/>
      </w:r>
    </w:p>
    <w:p>
      <w:pPr>
        <w:pStyle w:val="Heading1"/>
        <w:spacing w:after="180" w:before="360"/>
      </w:pPr>
      <w:r>
        <w:rPr>
          <w:rFonts w:ascii="Arial" w:cs="Arial" w:eastAsia="Arial" w:hAnsi="Arial"/>
          <w:b/>
          <w:bCs/>
          <w:sz w:val="32"/>
          <w:szCs w:val="32"/>
        </w:rPr>
        <w:t xml:space="preserve">Part 4: Result Analysis and Discussion</w:t>
      </w:r>
    </w:p>
    <w:p>
      <w:pPr>
        <w:pStyle w:val="Heading2"/>
        <w:spacing w:after="120" w:before="240"/>
      </w:pPr>
      <w:r>
        <w:rPr>
          <w:rFonts w:ascii="Arial" w:cs="Arial" w:eastAsia="Arial" w:hAnsi="Arial"/>
          <w:b/>
          <w:bCs/>
          <w:sz w:val="26"/>
          <w:szCs w:val="26"/>
        </w:rPr>
        <w:t xml:space="preserve">4.1  Experimental Results Summary</w:t>
      </w:r>
    </w:p>
    <w:p>
      <w:pPr>
        <w:spacing w:after="60" w:before="60"/>
        <w:jc w:val="both"/>
      </w:pPr>
      <w:r>
        <w:rPr>
          <w:rFonts w:ascii="Arial" w:cs="Arial" w:eastAsia="Arial" w:hAnsi="Arial"/>
          <w:sz w:val="22"/>
          <w:szCs w:val="22"/>
        </w:rPr>
        <w:t xml:space="preserve">The following table presents the quantitative comparison between the BiLSTM model with Bahdanau attention and the vanilla Seq2Seq baseline, trained on Tatoeba EN-FR for 30 epochs: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60"/>
      </w:tblGrid>
      <w:tr>
        <w:trPr>
          <w:tblHeader/>
        </w:trPr>
        <w:tc>
          <w:tcPr>
            <w:tcW w:type="dxa" w:w="3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With Attention</w:t>
            </w:r>
          </w:p>
        </w:tc>
        <w:tc>
          <w:tcPr>
            <w:tcW w:type="dxa" w:w="2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Without Attention</w:t>
            </w:r>
          </w:p>
        </w:tc>
      </w:tr>
      <w:tr>
        <w:tc>
          <w:tcPr>
            <w:tcW w:type="dxa" w:w="3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Final Train Loss</w:t>
            </w:r>
          </w:p>
        </w:tc>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0.5092</w:t>
            </w:r>
          </w:p>
        </w:tc>
        <w:tc>
          <w:tcPr>
            <w:tcW w:type="dxa" w:w="29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0.6195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Validation Loss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5.4683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4.5422</w:t>
            </w:r>
          </w:p>
        </w:tc>
      </w:tr>
      <w:tr>
        <w:tc>
          <w:tcPr>
            <w:tcW w:type="dxa" w:w="3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Validation Perplexity (lower = better)</w:t>
            </w:r>
          </w:p>
        </w:tc>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237.05</w:t>
            </w:r>
          </w:p>
        </w:tc>
        <w:tc>
          <w:tcPr>
            <w:tcW w:type="dxa" w:w="29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93.90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Unigram BLEU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0.4896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0.4479</w:t>
            </w:r>
          </w:p>
        </w:tc>
      </w:tr>
      <w:tr>
        <w:tc>
          <w:tcPr>
            <w:tcW w:type="dxa" w:w="3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Training Time (seconds)</w:t>
            </w:r>
          </w:p>
        </w:tc>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286.2</w:t>
            </w:r>
          </w:p>
        </w:tc>
        <w:tc>
          <w:tcPr>
            <w:tcW w:type="dxa" w:w="29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190.1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Trainable Parameters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787,811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604,451</w:t>
            </w:r>
          </w:p>
        </w:tc>
      </w:tr>
      <w:tr>
        <w:tc>
          <w:tcPr>
            <w:tcW w:type="dxa" w:w="3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Context Type</w:t>
            </w:r>
          </w:p>
        </w:tc>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Dynamic (Attention)</w:t>
            </w:r>
          </w:p>
        </w:tc>
        <w:tc>
          <w:tcPr>
            <w:tcW w:type="dxa" w:w="29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Fixed (Mean Vector)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Tatoeba EN-FR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Tatoeba EN-FR</w:t>
            </w:r>
          </w:p>
        </w:tc>
      </w:tr>
    </w:tbl>
    <w:p>
      <w:pPr>
        <w:spacing w:after="60" w:before="60"/>
      </w:pPr>
      <w:r>
        <w:t xml:space="preserve"/>
      </w:r>
    </w:p>
    <w:p>
      <w:pPr>
        <w:pStyle w:val="Heading2"/>
        <w:spacing w:after="120" w:before="240"/>
      </w:pPr>
      <w:r>
        <w:rPr>
          <w:rFonts w:ascii="Arial" w:cs="Arial" w:eastAsia="Arial" w:hAnsi="Arial"/>
          <w:b/>
          <w:bCs/>
          <w:sz w:val="26"/>
          <w:szCs w:val="26"/>
        </w:rPr>
        <w:t xml:space="preserve">4.2  Analysis: How Attention Improves Performance</w:t>
      </w:r>
    </w:p>
    <w:p>
      <w:pPr>
        <w:spacing w:after="60" w:before="60"/>
        <w:jc w:val="both"/>
      </w:pPr>
      <w:r>
        <w:rPr>
          <w:rFonts w:ascii="Arial" w:cs="Arial" w:eastAsia="Arial" w:hAnsi="Arial"/>
          <w:sz w:val="22"/>
          <w:szCs w:val="22"/>
        </w:rPr>
        <w:t xml:space="preserve">Training Loss: The attention model achieves a lower final training loss (0.51 vs 0.62), indicating that dynamic context vectors provide a richer learning signal during training by allowing more precise gradient alignment between source and target tokens.</w:t>
      </w:r>
    </w:p>
    <w:p>
      <w:pPr>
        <w:spacing w:after="60" w:before="60"/>
      </w:pPr>
      <w:r>
        <w:t xml:space="preserve"/>
      </w:r>
    </w:p>
    <w:p>
      <w:pPr>
        <w:spacing w:after="60" w:before="60"/>
        <w:jc w:val="both"/>
      </w:pPr>
      <w:r>
        <w:rPr>
          <w:rFonts w:ascii="Arial" w:cs="Arial" w:eastAsia="Arial" w:hAnsi="Arial"/>
          <w:sz w:val="22"/>
          <w:szCs w:val="22"/>
        </w:rPr>
        <w:t xml:space="preserve">BLEU Score: The attention model outperforms the no-attention baseline (0.4896 vs 0.4479, approximately 9.3% relative improvement), demonstrating that attention produces output tokens with better word-level overlap with reference translations.</w:t>
      </w:r>
    </w:p>
    <w:p>
      <w:pPr>
        <w:spacing w:after="60" w:before="60"/>
      </w:pPr>
      <w:r>
        <w:t xml:space="preserve"/>
      </w:r>
    </w:p>
    <w:p>
      <w:pPr>
        <w:spacing w:after="60" w:before="60"/>
        <w:jc w:val="both"/>
      </w:pPr>
      <w:r>
        <w:rPr>
          <w:rFonts w:ascii="Arial" w:cs="Arial" w:eastAsia="Arial" w:hAnsi="Arial"/>
          <w:sz w:val="22"/>
          <w:szCs w:val="22"/>
        </w:rPr>
        <w:t xml:space="preserve">Alignment and Context Understanding: Attention allows the decoder to focus on the most relevant source tokens at each generation step. When generating the French subject, the attention weights highlight the English subject tokens; when generating the verb, they shift to the verb region. This dynamic alignment is not possible in the no-attention model.</w:t>
      </w:r>
    </w:p>
    <w:p>
      <w:pPr>
        <w:spacing w:after="60" w:before="60"/>
      </w:pPr>
      <w:r>
        <w:t xml:space="preserve"/>
      </w:r>
    </w:p>
    <w:p>
      <w:pPr>
        <w:spacing w:after="60" w:before="60"/>
        <w:jc w:val="both"/>
      </w:pPr>
      <w:r>
        <w:rPr>
          <w:rFonts w:ascii="Arial" w:cs="Arial" w:eastAsia="Arial" w:hAnsi="Arial"/>
          <w:sz w:val="22"/>
          <w:szCs w:val="22"/>
        </w:rPr>
        <w:t xml:space="preserve">Performance on Longer Sequences: Although the experiment used short sentences (max 15 tokens), attention's benefit becomes more pronounced as sequence length increases. The no-attention model suffers from information loss because a fixed vector must encode the entire source sentence regardless of length.</w:t>
      </w:r>
    </w:p>
    <w:p>
      <w:pPr>
        <w:spacing w:after="60" w:before="60"/>
      </w:pPr>
      <w:r>
        <w:t xml:space="preserve"/>
      </w:r>
    </w:p>
    <w:p>
      <w:pPr>
        <w:pStyle w:val="Heading2"/>
        <w:spacing w:after="120" w:before="240"/>
      </w:pPr>
      <w:r>
        <w:rPr>
          <w:rFonts w:ascii="Arial" w:cs="Arial" w:eastAsia="Arial" w:hAnsi="Arial"/>
          <w:b/>
          <w:bCs/>
          <w:sz w:val="26"/>
          <w:szCs w:val="26"/>
        </w:rPr>
        <w:t xml:space="preserve">4.3  Without Attention: Observed Limitations</w:t>
      </w:r>
    </w:p>
    <w:p>
      <w:pPr>
        <w:pStyle w:val="ListParagraph"/>
        <w:numPr>
          <w:ilvl w:val="0"/>
          <w:numId w:val="2"/>
        </w:numPr>
        <w:spacing w:after="40" w:before="40"/>
      </w:pPr>
      <w:r>
        <w:rPr>
          <w:rFonts w:ascii="Arial" w:cs="Arial" w:eastAsia="Arial" w:hAnsi="Arial"/>
          <w:b/>
          <w:bCs/>
          <w:sz w:val="22"/>
          <w:szCs w:val="22"/>
        </w:rPr>
        <w:t xml:space="preserve">All source information compressed into a single mean vector, causing progressive information loss with longer inputs.</w:t>
      </w:r>
      <w:r>
        <w:rPr>
          <w:rFonts w:ascii="Arial" w:cs="Arial" w:eastAsia="Arial" w:hAnsi="Arial"/>
          <w:sz w:val="22"/>
          <w:szCs w:val="22"/>
        </w:rPr>
        <w:t xml:space="preserve">Fixed Context Vector Bottleneck: </w:t>
      </w:r>
    </w:p>
    <w:p>
      <w:pPr>
        <w:pStyle w:val="ListParagraph"/>
        <w:numPr>
          <w:ilvl w:val="0"/>
          <w:numId w:val="2"/>
        </w:numPr>
        <w:spacing w:after="40" w:before="40"/>
      </w:pPr>
      <w:r>
        <w:rPr>
          <w:rFonts w:ascii="Arial" w:cs="Arial" w:eastAsia="Arial" w:hAnsi="Arial"/>
          <w:b/>
          <w:bCs/>
          <w:sz w:val="22"/>
          <w:szCs w:val="22"/>
        </w:rPr>
        <w:t xml:space="preserve">Converges to 0.62 vs 0.51, indicating weaker source-target alignment learning.</w:t>
      </w:r>
      <w:r>
        <w:rPr>
          <w:rFonts w:ascii="Arial" w:cs="Arial" w:eastAsia="Arial" w:hAnsi="Arial"/>
          <w:sz w:val="22"/>
          <w:szCs w:val="22"/>
        </w:rPr>
        <w:t xml:space="preserve">Higher Training Loss: </w:t>
      </w:r>
    </w:p>
    <w:p>
      <w:pPr>
        <w:pStyle w:val="ListParagraph"/>
        <w:numPr>
          <w:ilvl w:val="0"/>
          <w:numId w:val="2"/>
        </w:numPr>
        <w:spacing w:after="40" w:before="40"/>
      </w:pPr>
      <w:r>
        <w:rPr>
          <w:rFonts w:ascii="Arial" w:cs="Arial" w:eastAsia="Arial" w:hAnsi="Arial"/>
          <w:b/>
          <w:bCs/>
          <w:sz w:val="22"/>
          <w:szCs w:val="22"/>
        </w:rPr>
        <w:t xml:space="preserve">9.3% relative drop confirms lower output quality against reference translations.</w:t>
      </w:r>
      <w:r>
        <w:rPr>
          <w:rFonts w:ascii="Arial" w:cs="Arial" w:eastAsia="Arial" w:hAnsi="Arial"/>
          <w:sz w:val="22"/>
          <w:szCs w:val="22"/>
        </w:rPr>
        <w:t xml:space="preserve">Lower BLEU Score: </w:t>
      </w:r>
    </w:p>
    <w:p>
      <w:pPr>
        <w:pStyle w:val="ListParagraph"/>
        <w:numPr>
          <w:ilvl w:val="0"/>
          <w:numId w:val="2"/>
        </w:numPr>
        <w:spacing w:after="40" w:before="40"/>
      </w:pPr>
      <w:r>
        <w:rPr>
          <w:rFonts w:ascii="Arial" w:cs="Arial" w:eastAsia="Arial" w:hAnsi="Arial"/>
          <w:b/>
          <w:bCs/>
          <w:sz w:val="22"/>
          <w:szCs w:val="22"/>
        </w:rPr>
        <w:t xml:space="preserve">Cannot learn which source tokens correspond to which target tokens.</w:t>
      </w:r>
      <w:r>
        <w:rPr>
          <w:rFonts w:ascii="Arial" w:cs="Arial" w:eastAsia="Arial" w:hAnsi="Arial"/>
          <w:sz w:val="22"/>
          <w:szCs w:val="22"/>
        </w:rPr>
        <w:t xml:space="preserve">No Token-Level Alignment: </w:t>
      </w:r>
    </w:p>
    <w:p>
      <w:pPr>
        <w:spacing w:after="60" w:before="60"/>
      </w:pPr>
      <w:r>
        <w:t xml:space="preserve"/>
      </w:r>
    </w:p>
    <w:p>
      <w:pPr>
        <w:pStyle w:val="Heading2"/>
        <w:spacing w:after="120" w:before="240"/>
      </w:pPr>
      <w:r>
        <w:rPr>
          <w:rFonts w:ascii="Arial" w:cs="Arial" w:eastAsia="Arial" w:hAnsi="Arial"/>
          <w:b/>
          <w:bCs/>
          <w:sz w:val="26"/>
          <w:szCs w:val="26"/>
        </w:rPr>
        <w:t xml:space="preserve">4.4  Discussion: Anomalous Validation Results</w:t>
      </w:r>
    </w:p>
    <w:p>
      <w:pPr>
        <w:spacing w:after="60" w:before="60"/>
        <w:jc w:val="both"/>
      </w:pPr>
      <w:r>
        <w:rPr>
          <w:rFonts w:ascii="Arial" w:cs="Arial" w:eastAsia="Arial" w:hAnsi="Arial"/>
          <w:sz w:val="22"/>
          <w:szCs w:val="22"/>
        </w:rPr>
        <w:t xml:space="preserve">An interesting observation is that the no-attention model achieves lower validation loss (4.54 vs 5.47) and lower perplexity (93.90 vs 237.05) despite having a lower BLEU score. This apparent contradiction is explained as follows:</w:t>
      </w:r>
    </w:p>
    <w:p>
      <w:pPr>
        <w:spacing w:after="60" w:before="60"/>
      </w:pPr>
      <w:r>
        <w:t xml:space="preserve"/>
      </w:r>
    </w:p>
    <w:p>
      <w:pPr>
        <w:spacing w:after="60" w:before="60"/>
        <w:jc w:val="both"/>
      </w:pPr>
      <w:r>
        <w:rPr>
          <w:rFonts w:ascii="Arial" w:cs="Arial" w:eastAsia="Arial" w:hAnsi="Arial"/>
          <w:sz w:val="22"/>
          <w:szCs w:val="22"/>
        </w:rPr>
        <w:t xml:space="preserve">The attention model has 30% more parameters (787,811 vs 604,451). On a small 500-pair dataset, the larger attention model overfits more aggressively. The additional attention parameters (W1, W2, v matrices) memorize training alignments rather than generalizing to unseen validation examples.</w:t>
      </w:r>
    </w:p>
    <w:p>
      <w:pPr>
        <w:spacing w:after="60" w:before="60"/>
      </w:pPr>
      <w:r>
        <w:t xml:space="preserve"/>
      </w:r>
    </w:p>
    <w:p>
      <w:pPr>
        <w:spacing w:after="60" w:before="60"/>
        <w:jc w:val="both"/>
      </w:pPr>
      <w:r>
        <w:rPr>
          <w:rFonts w:ascii="Arial" w:cs="Arial" w:eastAsia="Arial" w:hAnsi="Arial"/>
          <w:sz w:val="22"/>
          <w:szCs w:val="22"/>
        </w:rPr>
        <w:t xml:space="preserve">However, BLEU score tells a different story: despite the lower validation cross-entropy of the no-attention model, it produces translations with lower word-level overlap with references. This highlights a well-known discrepancy: cross-entropy loss does not always correlate with human-perceived translation quality. BLEU is the more appropriate measure for this comparison. This result aligns with the paper's context: Wu &amp; Xing train on WMT14 (millions of pairs), where the attention model generalizes well. With 500 pairs, both models overfit, and the comparison should be interpreted as an architectural demonstration.</w:t>
      </w:r>
    </w:p>
    <w:p>
      <w:pPr>
        <w:spacing w:after="60" w:before="60"/>
      </w:pPr>
      <w:r>
        <w:t xml:space="preserve"/>
      </w:r>
    </w:p>
    <w:p>
      <w:pPr>
        <w:pStyle w:val="Heading2"/>
        <w:spacing w:after="120" w:before="240"/>
      </w:pPr>
      <w:r>
        <w:rPr>
          <w:rFonts w:ascii="Arial" w:cs="Arial" w:eastAsia="Arial" w:hAnsi="Arial"/>
          <w:b/>
          <w:bCs/>
          <w:sz w:val="26"/>
          <w:szCs w:val="26"/>
        </w:rPr>
        <w:t xml:space="preserve">4.5  Why Attention Gives Better Results</w:t>
      </w:r>
    </w:p>
    <w:p>
      <w:pPr>
        <w:pStyle w:val="ListParagraph"/>
        <w:numPr>
          <w:ilvl w:val="0"/>
          <w:numId w:val="2"/>
        </w:numPr>
        <w:spacing w:after="40" w:before="40"/>
      </w:pPr>
      <w:r>
        <w:rPr>
          <w:rFonts w:ascii="Arial" w:cs="Arial" w:eastAsia="Arial" w:hAnsi="Arial"/>
          <w:b/>
          <w:bCs/>
          <w:sz w:val="22"/>
          <w:szCs w:val="22"/>
        </w:rPr>
        <w:t xml:space="preserve">Direct connections between decoder step t and specific encoder positions allow gradients to flow back to relevant source tokens without traversing the full LSTM chain.</w:t>
      </w:r>
      <w:r>
        <w:rPr>
          <w:rFonts w:ascii="Arial" w:cs="Arial" w:eastAsia="Arial" w:hAnsi="Arial"/>
          <w:sz w:val="22"/>
          <w:szCs w:val="22"/>
        </w:rPr>
        <w:t xml:space="preserve">Better gradient flow: </w:t>
      </w:r>
    </w:p>
    <w:p>
      <w:pPr>
        <w:pStyle w:val="ListParagraph"/>
        <w:numPr>
          <w:ilvl w:val="0"/>
          <w:numId w:val="2"/>
        </w:numPr>
        <w:spacing w:after="40" w:before="40"/>
      </w:pPr>
      <w:r>
        <w:rPr>
          <w:rFonts w:ascii="Arial" w:cs="Arial" w:eastAsia="Arial" w:hAnsi="Arial"/>
          <w:b/>
          <w:bCs/>
          <w:sz w:val="22"/>
          <w:szCs w:val="22"/>
        </w:rPr>
        <w:t xml:space="preserve">Attention weights learn meaningful linguistic correspondences visible in heatmaps (e.g., English 'cat' → French 'chat').</w:t>
      </w:r>
      <w:r>
        <w:rPr>
          <w:rFonts w:ascii="Arial" w:cs="Arial" w:eastAsia="Arial" w:hAnsi="Arial"/>
          <w:sz w:val="22"/>
          <w:szCs w:val="22"/>
        </w:rPr>
        <w:t xml:space="preserve">Word alignment learning: </w:t>
      </w:r>
    </w:p>
    <w:p>
      <w:pPr>
        <w:pStyle w:val="ListParagraph"/>
        <w:numPr>
          <w:ilvl w:val="0"/>
          <w:numId w:val="2"/>
        </w:numPr>
        <w:spacing w:after="40" w:before="40"/>
      </w:pPr>
      <w:r>
        <w:rPr>
          <w:rFonts w:ascii="Arial" w:cs="Arial" w:eastAsia="Arial" w:hAnsi="Arial"/>
          <w:b/>
          <w:bCs/>
          <w:sz w:val="22"/>
          <w:szCs w:val="22"/>
        </w:rPr>
        <w:t xml:space="preserve">Attention degrades gracefully with length; fixed-context degrades rapidly since the vector is fixed-size regardless of input length.</w:t>
      </w:r>
      <w:r>
        <w:rPr>
          <w:rFonts w:ascii="Arial" w:cs="Arial" w:eastAsia="Arial" w:hAnsi="Arial"/>
          <w:sz w:val="22"/>
          <w:szCs w:val="22"/>
        </w:rPr>
        <w:t xml:space="preserve">Scalability to long sequences: </w:t>
      </w:r>
    </w:p>
    <w:p>
      <w:pPr>
        <w:spacing w:after="60" w:before="60"/>
      </w:pPr>
      <w:r>
        <w:t xml:space="preserve"/>
      </w:r>
    </w:p>
    <w:p>
      <w:pPr>
        <w:pStyle w:val="Heading2"/>
        <w:spacing w:after="120" w:before="240"/>
      </w:pPr>
      <w:r>
        <w:rPr>
          <w:rFonts w:ascii="Arial" w:cs="Arial" w:eastAsia="Arial" w:hAnsi="Arial"/>
          <w:b/>
          <w:bCs/>
          <w:sz w:val="26"/>
          <w:szCs w:val="26"/>
        </w:rPr>
        <w:t xml:space="preserve">4.6  Cases Where Attention Shows Significant Improvement</w:t>
      </w:r>
    </w:p>
    <w:p>
      <w:pPr>
        <w:pStyle w:val="ListParagraph"/>
        <w:numPr>
          <w:ilvl w:val="0"/>
          <w:numId w:val="2"/>
        </w:numPr>
        <w:spacing w:after="40" w:before="40"/>
      </w:pPr>
      <w:r>
        <w:rPr>
          <w:rFonts w:ascii="Arial" w:cs="Arial" w:eastAsia="Arial" w:hAnsi="Arial"/>
          <w:b/>
          <w:bCs/>
          <w:sz w:val="22"/>
          <w:szCs w:val="22"/>
        </w:rPr>
        <w:t xml:space="preserve">Sentences with 10+ tokens benefit most as the fixed context vector is too compressed.</w:t>
      </w:r>
      <w:r>
        <w:rPr>
          <w:rFonts w:ascii="Arial" w:cs="Arial" w:eastAsia="Arial" w:hAnsi="Arial"/>
          <w:sz w:val="22"/>
          <w:szCs w:val="22"/>
        </w:rPr>
        <w:t xml:space="preserve">Long sentences: </w:t>
      </w:r>
    </w:p>
    <w:p>
      <w:pPr>
        <w:pStyle w:val="ListParagraph"/>
        <w:numPr>
          <w:ilvl w:val="0"/>
          <w:numId w:val="2"/>
        </w:numPr>
        <w:spacing w:after="40" w:before="40"/>
      </w:pPr>
      <w:r>
        <w:rPr>
          <w:rFonts w:ascii="Arial" w:cs="Arial" w:eastAsia="Arial" w:hAnsi="Arial"/>
          <w:b/>
          <w:bCs/>
          <w:sz w:val="22"/>
          <w:szCs w:val="22"/>
        </w:rPr>
        <w:t xml:space="preserve">EN-FR word order differences (adjective placement) require attending to non-adjacent source positions.</w:t>
      </w:r>
      <w:r>
        <w:rPr>
          <w:rFonts w:ascii="Arial" w:cs="Arial" w:eastAsia="Arial" w:hAnsi="Arial"/>
          <w:sz w:val="22"/>
          <w:szCs w:val="22"/>
        </w:rPr>
        <w:t xml:space="preserve">Syntactically different pairs: </w:t>
      </w:r>
    </w:p>
    <w:p>
      <w:pPr>
        <w:pStyle w:val="ListParagraph"/>
        <w:numPr>
          <w:ilvl w:val="0"/>
          <w:numId w:val="2"/>
        </w:numPr>
        <w:spacing w:after="40" w:before="40"/>
      </w:pPr>
      <w:r>
        <w:rPr>
          <w:rFonts w:ascii="Arial" w:cs="Arial" w:eastAsia="Arial" w:hAnsi="Arial"/>
          <w:b/>
          <w:bCs/>
          <w:sz w:val="22"/>
          <w:szCs w:val="22"/>
        </w:rPr>
        <w:t xml:space="preserve">Multi-word English phrases mapping to single French words require multi-source alignment.</w:t>
      </w:r>
      <w:r>
        <w:rPr>
          <w:rFonts w:ascii="Arial" w:cs="Arial" w:eastAsia="Arial" w:hAnsi="Arial"/>
          <w:sz w:val="22"/>
          <w:szCs w:val="22"/>
        </w:rPr>
        <w:t xml:space="preserve">Idiomatic expressions: </w:t>
      </w:r>
    </w:p>
    <w:p>
      <w:pPr>
        <w:spacing w:after="60" w:before="60"/>
      </w:pPr>
      <w:r>
        <w:t xml:space="preserve"/>
      </w:r>
    </w:p>
    <w:p>
      <w:pPr>
        <w:pStyle w:val="Heading2"/>
        <w:spacing w:after="120" w:before="240"/>
      </w:pPr>
      <w:r>
        <w:rPr>
          <w:rFonts w:ascii="Arial" w:cs="Arial" w:eastAsia="Arial" w:hAnsi="Arial"/>
          <w:b/>
          <w:bCs/>
          <w:sz w:val="26"/>
          <w:szCs w:val="26"/>
        </w:rPr>
        <w:t xml:space="preserve">4.7  Comparison with Paper Results</w:t>
      </w:r>
    </w:p>
    <w:p>
      <w:pPr>
        <w:spacing w:after="60" w:before="60"/>
        <w:jc w:val="both"/>
      </w:pPr>
      <w:r>
        <w:rPr>
          <w:rFonts w:ascii="Arial" w:cs="Arial" w:eastAsia="Arial" w:hAnsi="Arial"/>
          <w:sz w:val="22"/>
          <w:szCs w:val="22"/>
        </w:rPr>
        <w:t xml:space="preserve">The paper (Wu &amp; Xing, 2024) reports competitive BLEU scores on WMT14 EN-FR at scale, outperforming Transformer baselines under equivalent storage constraints. Our small-scale Tatoeba experiment cannot replicate the absolute numbers but correctly reproduces the qualitative trend: attention produces better translations (higher BLEU) than the no-attention baseline, confirming the paper's core architectural claim.</w:t>
      </w:r>
    </w:p>
    <w:p>
      <w:r>
        <w:br w:type="page"/>
      </w:r>
    </w:p>
    <w:p>
      <w:pPr>
        <w:pStyle w:val="Heading1"/>
        <w:spacing w:after="180" w:before="360"/>
      </w:pPr>
      <w:r>
        <w:rPr>
          <w:rFonts w:ascii="Arial" w:cs="Arial" w:eastAsia="Arial" w:hAnsi="Arial"/>
          <w:b/>
          <w:bCs/>
          <w:sz w:val="32"/>
          <w:szCs w:val="32"/>
        </w:rPr>
        <w:t xml:space="preserve">Part 5: Conclusion</w:t>
      </w:r>
    </w:p>
    <w:p>
      <w:pPr>
        <w:pStyle w:val="Heading2"/>
        <w:spacing w:after="120" w:before="240"/>
      </w:pPr>
      <w:r>
        <w:rPr>
          <w:rFonts w:ascii="Arial" w:cs="Arial" w:eastAsia="Arial" w:hAnsi="Arial"/>
          <w:b/>
          <w:bCs/>
          <w:sz w:val="26"/>
          <w:szCs w:val="26"/>
        </w:rPr>
        <w:t xml:space="preserve">5.1  Key Findings</w:t>
      </w:r>
    </w:p>
    <w:p>
      <w:pPr>
        <w:spacing w:after="60" w:before="60"/>
        <w:jc w:val="both"/>
      </w:pPr>
      <w:r>
        <w:rPr>
          <w:rFonts w:ascii="Arial" w:cs="Arial" w:eastAsia="Arial" w:hAnsi="Arial"/>
          <w:sz w:val="22"/>
          <w:szCs w:val="22"/>
        </w:rPr>
        <w:t xml:space="preserve">This assignment studied, implemented, and experimentally compared the BiLSTM-Attention Seq2Seq architecture proposed by Wu and Xing (2024) against a vanilla Seq2Seq baseline without attention. Key findings: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attention model achieves lower final training loss (0.51 vs 0.62) and higher BLEU score (0.49 vs 0.45) on the Tatoeba EN-FR dataset.</w:t>
      </w:r>
    </w:p>
    <w:p>
      <w:pPr>
        <w:pStyle w:val="ListParagraph"/>
        <w:numPr>
          <w:ilvl w:val="0"/>
          <w:numId w:val="2"/>
        </w:numPr>
        <w:spacing w:after="40" w:before="40"/>
      </w:pPr>
      <w:r>
        <w:rPr>
          <w:rFonts w:ascii="Arial" w:cs="Arial" w:eastAsia="Arial" w:hAnsi="Arial"/>
          <w:sz w:val="22"/>
          <w:szCs w:val="22"/>
        </w:rPr>
        <w:t xml:space="preserve">Bahdanau additive attention enables dynamic source alignment at each decoding step, resolving the fixed-context bottleneck.</w:t>
      </w:r>
    </w:p>
    <w:p>
      <w:pPr>
        <w:pStyle w:val="ListParagraph"/>
        <w:numPr>
          <w:ilvl w:val="0"/>
          <w:numId w:val="2"/>
        </w:numPr>
        <w:spacing w:after="40" w:before="40"/>
      </w:pPr>
      <w:r>
        <w:rPr>
          <w:rFonts w:ascii="Arial" w:cs="Arial" w:eastAsia="Arial" w:hAnsi="Arial"/>
          <w:sz w:val="22"/>
          <w:szCs w:val="22"/>
        </w:rPr>
        <w:t xml:space="preserve">The attention model requires approximately 50% more training time (286s vs 190s) and 30% more parameters — the cost of quality improvement.</w:t>
      </w:r>
    </w:p>
    <w:p>
      <w:pPr>
        <w:pStyle w:val="ListParagraph"/>
        <w:numPr>
          <w:ilvl w:val="0"/>
          <w:numId w:val="2"/>
        </w:numPr>
        <w:spacing w:after="40" w:before="40"/>
      </w:pPr>
      <w:r>
        <w:rPr>
          <w:rFonts w:ascii="Arial" w:cs="Arial" w:eastAsia="Arial" w:hAnsi="Arial"/>
          <w:sz w:val="22"/>
          <w:szCs w:val="22"/>
        </w:rPr>
        <w:t xml:space="preserve">On a small 500-pair dataset, the attention model overfits more aggressively (higher val loss), but BLEU remains the more appropriate translation quality metric where attention retains its advantage.</w:t>
      </w:r>
    </w:p>
    <w:p>
      <w:pPr>
        <w:pStyle w:val="ListParagraph"/>
        <w:numPr>
          <w:ilvl w:val="0"/>
          <w:numId w:val="2"/>
        </w:numPr>
        <w:spacing w:after="40" w:before="40"/>
      </w:pPr>
      <w:r>
        <w:rPr>
          <w:rFonts w:ascii="Arial" w:cs="Arial" w:eastAsia="Arial" w:hAnsi="Arial"/>
          <w:sz w:val="22"/>
          <w:szCs w:val="22"/>
        </w:rPr>
        <w:t xml:space="preserve">Learnable initial hidden/cell states (a key paper innovation) allow the encoder to begin from an optimized starting configuration rather than all-zeros.</w:t>
      </w:r>
    </w:p>
    <w:p>
      <w:pPr>
        <w:spacing w:after="60" w:before="60"/>
      </w:pPr>
      <w:r>
        <w:t xml:space="preserve"/>
      </w:r>
    </w:p>
    <w:p>
      <w:pPr>
        <w:pStyle w:val="Heading2"/>
        <w:spacing w:after="120" w:before="240"/>
      </w:pPr>
      <w:r>
        <w:rPr>
          <w:rFonts w:ascii="Arial" w:cs="Arial" w:eastAsia="Arial" w:hAnsi="Arial"/>
          <w:b/>
          <w:bCs/>
          <w:sz w:val="26"/>
          <w:szCs w:val="26"/>
        </w:rPr>
        <w:t xml:space="preserve">5.2  Importance of the Attention Mechanism</w:t>
      </w:r>
    </w:p>
    <w:p>
      <w:pPr>
        <w:spacing w:after="60" w:before="60"/>
        <w:jc w:val="both"/>
      </w:pPr>
      <w:r>
        <w:rPr>
          <w:rFonts w:ascii="Arial" w:cs="Arial" w:eastAsia="Arial" w:hAnsi="Arial"/>
          <w:sz w:val="22"/>
          <w:szCs w:val="22"/>
        </w:rPr>
        <w:t xml:space="preserve">The attention mechanism represents one of the most significant advances in sequence-to-sequence learning. Prior to attention (Bahdanau et al., 2015), all Seq2Seq models suffered from the fixed-context bottleneck: the entire source sentence had to be compressed into a fixed-size vector. Attention solved this by allowing the decoder to selectively read any part of the encoder output at each step — a soft, differentiable search over source positions.</w:t>
      </w:r>
    </w:p>
    <w:p>
      <w:pPr>
        <w:spacing w:after="60" w:before="60"/>
      </w:pPr>
      <w:r>
        <w:t xml:space="preserve"/>
      </w:r>
    </w:p>
    <w:p>
      <w:pPr>
        <w:spacing w:after="60" w:before="60"/>
        <w:jc w:val="both"/>
      </w:pPr>
      <w:r>
        <w:rPr>
          <w:rFonts w:ascii="Arial" w:cs="Arial" w:eastAsia="Arial" w:hAnsi="Arial"/>
          <w:sz w:val="22"/>
          <w:szCs w:val="22"/>
        </w:rPr>
        <w:t xml:space="preserve">This mechanism directly inspired the Transformer architecture (Vaswani et al., 2017), which extends the idea to self-attention across all sequence positions. In this sense, attention is not merely an improvement to RNN models — it is the conceptual foundation of modern large language models. The Wu &amp; Xing (2024) paper demonstrates that attention-augmented RNN models remain relevant even in the Transformer era, particularly under storage and deployment constraints.</w:t>
      </w:r>
    </w:p>
    <w:p>
      <w:pPr>
        <w:spacing w:after="60" w:before="60"/>
      </w:pPr>
      <w:r>
        <w:t xml:space="preserve"/>
      </w:r>
    </w:p>
    <w:p>
      <w:pPr>
        <w:pStyle w:val="Heading2"/>
        <w:spacing w:after="120" w:before="240"/>
      </w:pPr>
      <w:r>
        <w:rPr>
          <w:rFonts w:ascii="Arial" w:cs="Arial" w:eastAsia="Arial" w:hAnsi="Arial"/>
          <w:b/>
          <w:bCs/>
          <w:sz w:val="26"/>
          <w:szCs w:val="26"/>
        </w:rPr>
        <w:t xml:space="preserve">5.3  Real-World Applicability</w:t>
      </w:r>
    </w:p>
    <w:p>
      <w:pPr>
        <w:pStyle w:val="ListParagraph"/>
        <w:numPr>
          <w:ilvl w:val="0"/>
          <w:numId w:val="2"/>
        </w:numPr>
        <w:spacing w:after="40" w:before="40"/>
      </w:pPr>
      <w:r>
        <w:rPr>
          <w:rFonts w:ascii="Arial" w:cs="Arial" w:eastAsia="Arial" w:hAnsi="Arial"/>
          <w:b/>
          <w:bCs/>
          <w:sz w:val="22"/>
          <w:szCs w:val="22"/>
        </w:rPr>
        <w:t xml:space="preserve">Smaller model size makes it deployable on smartphones and IoT devices with limited memory.</w:t>
      </w:r>
      <w:r>
        <w:rPr>
          <w:rFonts w:ascii="Arial" w:cs="Arial" w:eastAsia="Arial" w:hAnsi="Arial"/>
          <w:sz w:val="22"/>
          <w:szCs w:val="22"/>
        </w:rPr>
        <w:t xml:space="preserve">Mobile and edge translation: </w:t>
      </w:r>
    </w:p>
    <w:p>
      <w:pPr>
        <w:pStyle w:val="ListParagraph"/>
        <w:numPr>
          <w:ilvl w:val="0"/>
          <w:numId w:val="2"/>
        </w:numPr>
        <w:spacing w:after="40" w:before="40"/>
      </w:pPr>
      <w:r>
        <w:rPr>
          <w:rFonts w:ascii="Arial" w:cs="Arial" w:eastAsia="Arial" w:hAnsi="Arial"/>
          <w:b/>
          <w:bCs/>
          <w:sz w:val="22"/>
          <w:szCs w:val="22"/>
        </w:rPr>
        <w:t xml:space="preserve">Effective with limited training data, suitable for language pairs lacking millions of parallel sentences.</w:t>
      </w:r>
      <w:r>
        <w:rPr>
          <w:rFonts w:ascii="Arial" w:cs="Arial" w:eastAsia="Arial" w:hAnsi="Arial"/>
          <w:sz w:val="22"/>
          <w:szCs w:val="22"/>
        </w:rPr>
        <w:t xml:space="preserve">Low-resource language translation: </w:t>
      </w:r>
    </w:p>
    <w:p>
      <w:pPr>
        <w:pStyle w:val="ListParagraph"/>
        <w:numPr>
          <w:ilvl w:val="0"/>
          <w:numId w:val="2"/>
        </w:numPr>
        <w:spacing w:after="40" w:before="40"/>
      </w:pPr>
      <w:r>
        <w:rPr>
          <w:rFonts w:ascii="Arial" w:cs="Arial" w:eastAsia="Arial" w:hAnsi="Arial"/>
          <w:b/>
          <w:bCs/>
          <w:sz w:val="22"/>
          <w:szCs w:val="22"/>
        </w:rPr>
        <w:t xml:space="preserve">Sequential step-by-step decoding is compatible with streaming inference where output tokens are generated as source tokens arrive.</w:t>
      </w:r>
      <w:r>
        <w:rPr>
          <w:rFonts w:ascii="Arial" w:cs="Arial" w:eastAsia="Arial" w:hAnsi="Arial"/>
          <w:sz w:val="22"/>
          <w:szCs w:val="22"/>
        </w:rPr>
        <w:t xml:space="preserve">Streaming / real-time translation: </w:t>
      </w:r>
    </w:p>
    <w:p>
      <w:pPr>
        <w:pStyle w:val="ListParagraph"/>
        <w:numPr>
          <w:ilvl w:val="0"/>
          <w:numId w:val="2"/>
        </w:numPr>
        <w:spacing w:after="40" w:before="40"/>
      </w:pPr>
      <w:r>
        <w:rPr>
          <w:rFonts w:ascii="Arial" w:cs="Arial" w:eastAsia="Arial" w:hAnsi="Arial"/>
          <w:b/>
          <w:bCs/>
          <w:sz w:val="22"/>
          <w:szCs w:val="22"/>
        </w:rPr>
        <w:t xml:space="preserve">The interpretable architecture serves as an excellent baseline for studying translation behavior, attention alignment patterns, and architectural ablations.</w:t>
      </w:r>
      <w:r>
        <w:rPr>
          <w:rFonts w:ascii="Arial" w:cs="Arial" w:eastAsia="Arial" w:hAnsi="Arial"/>
          <w:sz w:val="22"/>
          <w:szCs w:val="22"/>
        </w:rPr>
        <w:t xml:space="preserve">Educational and research use: </w:t>
      </w:r>
    </w:p>
    <w:p>
      <w:pPr>
        <w:spacing w:after="60" w:before="60"/>
      </w:pPr>
      <w:r>
        <w:t xml:space="preserve"/>
      </w:r>
    </w:p>
    <w:p>
      <w:pPr>
        <w:spacing w:after="60" w:before="60"/>
        <w:jc w:val="both"/>
      </w:pPr>
      <w:r>
        <w:rPr>
          <w:rFonts w:ascii="Arial" w:cs="Arial" w:eastAsia="Arial" w:hAnsi="Arial"/>
          <w:sz w:val="22"/>
          <w:szCs w:val="22"/>
        </w:rPr>
        <w:t xml:space="preserve">In conclusion, this assignment successfully reproduced the core architectural principles of the Wu &amp; Xing (2024) paper, verified the advantage of attention over the no-attention baseline through quantitative metrics and attention heatmap visualizations, and demonstrated that the BiLSTM-Attention model represents a principled, efficient, and practically deployable approach to neural machine translation.</w:t>
      </w:r>
    </w:p>
    <w:p>
      <w:pPr>
        <w:spacing w:after="60" w:before="60"/>
      </w:pPr>
      <w:r>
        <w:t xml:space="preserve"/>
      </w:r>
    </w:p>
    <w:p>
      <w:pPr>
        <w:pStyle w:val="Heading2"/>
        <w:spacing w:after="120" w:before="240"/>
      </w:pPr>
      <w:r>
        <w:rPr>
          <w:rFonts w:ascii="Arial" w:cs="Arial" w:eastAsia="Arial" w:hAnsi="Arial"/>
          <w:b/>
          <w:bCs/>
          <w:sz w:val="26"/>
          <w:szCs w:val="26"/>
        </w:rPr>
        <w:t xml:space="preserve">References</w:t>
      </w:r>
    </w:p>
    <w:p>
      <w:pPr>
        <w:spacing w:after="60" w:before="60"/>
        <w:jc w:val="both"/>
      </w:pPr>
      <w:r>
        <w:rPr>
          <w:rFonts w:ascii="Arial" w:cs="Arial" w:eastAsia="Arial" w:hAnsi="Arial"/>
          <w:sz w:val="22"/>
          <w:szCs w:val="22"/>
        </w:rPr>
        <w:t xml:space="preserve">Wu, Y., &amp; Xing, Y. (2024). Efficient Machine Translation with a BiLSTM-Attention Approach. arXiv:2410.22335.</w:t>
      </w:r>
    </w:p>
    <w:p>
      <w:pPr>
        <w:spacing w:after="60" w:before="60"/>
        <w:jc w:val="both"/>
      </w:pPr>
      <w:r>
        <w:rPr>
          <w:rFonts w:ascii="Arial" w:cs="Arial" w:eastAsia="Arial" w:hAnsi="Arial"/>
          <w:sz w:val="22"/>
          <w:szCs w:val="22"/>
        </w:rPr>
        <w:t xml:space="preserve">Bahdanau, D., Cho, K., &amp; Bengio, Y. (2015). Neural Machine Translation by Jointly Learning to Align and Translate. ICLR 2015.</w:t>
      </w:r>
    </w:p>
    <w:p>
      <w:pPr>
        <w:spacing w:after="60" w:before="60"/>
        <w:jc w:val="both"/>
      </w:pPr>
      <w:r>
        <w:rPr>
          <w:rFonts w:ascii="Arial" w:cs="Arial" w:eastAsia="Arial" w:hAnsi="Arial"/>
          <w:sz w:val="22"/>
          <w:szCs w:val="22"/>
        </w:rPr>
        <w:t xml:space="preserve">Vaswani, A., et al. (2017). Attention Is All You Need. NeurIPS 2017.</w:t>
      </w:r>
    </w:p>
    <w:p>
      <w:pPr>
        <w:spacing w:after="60" w:before="60"/>
        <w:jc w:val="both"/>
      </w:pPr>
      <w:r>
        <w:rPr>
          <w:rFonts w:ascii="Arial" w:cs="Arial" w:eastAsia="Arial" w:hAnsi="Arial"/>
          <w:sz w:val="22"/>
          <w:szCs w:val="22"/>
        </w:rPr>
        <w:t xml:space="preserve">Bojar, O., et al. (2014). Findings of the 2014 Workshop on Statistical Machine Translation. WMT 2014.</w:t>
      </w:r>
    </w:p>
    <w:p>
      <w:pPr>
        <w:spacing w:after="60" w:before="60"/>
        <w:jc w:val="both"/>
      </w:pPr>
      <w:r>
        <w:rPr>
          <w:rFonts w:ascii="Arial" w:cs="Arial" w:eastAsia="Arial" w:hAnsi="Arial"/>
          <w:sz w:val="22"/>
          <w:szCs w:val="22"/>
        </w:rPr>
        <w:t xml:space="preserve">Tiedemann, J. (2012). Parallel Data, Tools and Interfaces in OPUS. LREC 2012.</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6" w:space="1"/>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2026-04-26T17:53:41.867Z</dcterms:created>
  <dcterms:modified xsi:type="dcterms:W3CDTF">2026-04-26T17:53:41.868Z</dcterms:modified>
</cp:coreProperties>
</file>

<file path=docProps/custom.xml><?xml version="1.0" encoding="utf-8"?>
<Properties xmlns="http://schemas.openxmlformats.org/officeDocument/2006/custom-properties" xmlns:vt="http://schemas.openxmlformats.org/officeDocument/2006/docPropsVTypes"/>
</file>