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Manufacturing Decision Support System</w:t>
      </w:r>
    </w:p>
    <w:p>
      <w:pPr>
        <w:jc w:val="center"/>
      </w:pPr>
      <w:r>
        <w:rPr>
          <w:i/>
          <w:sz w:val="26"/>
        </w:rPr>
        <w:t>Architecture, Design Decisions, Evaluation and Limitations</w:t>
      </w:r>
    </w:p>
    <w:p>
      <w:pPr>
        <w:jc w:val="center"/>
      </w:pPr>
      <w:r>
        <w:t>Take-home assignment: Agentic AI for Manufacturing — E-Bike Production Line</w:t>
      </w:r>
    </w:p>
    <w:p>
      <w:r>
        <w:t>Prototype status: working local prototype; verify final test counts and live endpoint behavior before submission.</w:t>
      </w:r>
    </w:p>
    <w:p>
      <w:pPr>
        <w:pStyle w:val="Heading1"/>
      </w:pPr>
      <w:r>
        <w:t>1. Executive summary</w:t>
      </w:r>
    </w:p>
    <w:p>
      <w:r>
        <w:t>This prototype provides evidence-grounded decision support for three manufacturing workflows: predictive maintenance, root cause analysis (RCA), and defect monitoring. It combines structured queries against a read-only SQLite MES database with retrieval from manufacturing reference documents, then returns a decision-oriented response with findings, evidence, data gaps, and recommendations. Human approval is represented as a separate persisted workflow for critical recommendations.</w:t>
      </w:r>
    </w:p>
    <w:p>
      <w:r>
        <w:t>The design prioritizes modular interfaces and inspectability over a large autonomous agent network. The LLM helps interpret and synthesize evidence; deterministic database access, workflow policies, and approval checks remain outside the model.</w:t>
      </w:r>
    </w:p>
    <w:p>
      <w:pPr>
        <w:pStyle w:val="Heading1"/>
      </w:pPr>
      <w:r>
        <w:t>2. Business framing</w:t>
      </w:r>
    </w:p>
    <w:p>
      <w:r>
        <w:t>A static dashboard is useful for known KPIs but is less suited to questions that require joining current MES facts with procedures and explaining why an action is recommended. A plain chatbot may produce fluent but unsupported answers. This DSS uses bounded orchestration to combine SQL facts, retrieved document passages, deterministic rules, and LLM synthesis. The goal is decision support—not unsupervised control of production equipment.</w:t>
      </w:r>
    </w:p>
    <w:p>
      <w:pPr>
        <w:pStyle w:val="Heading1"/>
      </w:pPr>
      <w:r>
        <w:t>3. Architecture overview</w:t>
      </w:r>
    </w:p>
    <w:p>
      <w:r>
        <w:t>Operator → Streamlit UI → FastAPI endpoints → workflow/service layer → SQL and RAG tools → MES.db and reference-document knowledge base. The workflow combines tool results and applies decision/approval policy before producing a structured response. Approval decisions are persisted separately in SQLite.</w:t>
      </w:r>
    </w:p>
    <w:p>
      <w:pPr>
        <w:jc w:val="center"/>
      </w:pPr>
      <w:r>
        <w:rPr>
          <w:rFonts w:ascii="Consolas" w:hAnsi="Consolas"/>
          <w:sz w:val="18"/>
        </w:rPr>
        <w:t>Operator / Engineer</w:t>
      </w:r>
    </w:p>
    <w:p>
      <w:pPr>
        <w:jc w:val="center"/>
      </w:pPr>
      <w:r>
        <w:rPr>
          <w:rFonts w:ascii="Consolas" w:hAnsi="Consolas"/>
          <w:sz w:val="18"/>
        </w:rPr>
        <w:t xml:space="preserve">        ↓</w:t>
      </w:r>
    </w:p>
    <w:p>
      <w:pPr>
        <w:jc w:val="center"/>
      </w:pPr>
      <w:r>
        <w:rPr>
          <w:rFonts w:ascii="Consolas" w:hAnsi="Consolas"/>
          <w:sz w:val="18"/>
        </w:rPr>
        <w:t>Streamlit UI (investigation form, evidence, data gaps, approval form)</w:t>
      </w:r>
    </w:p>
    <w:p>
      <w:pPr>
        <w:jc w:val="center"/>
      </w:pPr>
      <w:r>
        <w:rPr>
          <w:rFonts w:ascii="Consolas" w:hAnsi="Consolas"/>
          <w:sz w:val="18"/>
        </w:rPr>
        <w:t xml:space="preserve">        ↓ HTTP</w:t>
      </w:r>
    </w:p>
    <w:p>
      <w:pPr>
        <w:jc w:val="center"/>
      </w:pPr>
      <w:r>
        <w:rPr>
          <w:rFonts w:ascii="Consolas" w:hAnsi="Consolas"/>
          <w:sz w:val="18"/>
        </w:rPr>
        <w:t>FastAPI API layer (maintenance / RCA / defects / approvals / health)</w:t>
      </w:r>
    </w:p>
    <w:p>
      <w:pPr>
        <w:jc w:val="center"/>
      </w:pPr>
      <w:r>
        <w:rPr>
          <w:rFonts w:ascii="Consolas" w:hAnsi="Consolas"/>
          <w:sz w:val="18"/>
        </w:rPr>
        <w:t xml:space="preserve">        ↓</w:t>
      </w:r>
    </w:p>
    <w:p>
      <w:pPr>
        <w:jc w:val="center"/>
      </w:pPr>
      <w:r>
        <w:rPr>
          <w:rFonts w:ascii="Consolas" w:hAnsi="Consolas"/>
          <w:sz w:val="18"/>
        </w:rPr>
        <w:t>Workflow orchestration and service layer</w:t>
      </w:r>
    </w:p>
    <w:p>
      <w:pPr>
        <w:jc w:val="center"/>
      </w:pPr>
      <w:r>
        <w:rPr>
          <w:rFonts w:ascii="Consolas" w:hAnsi="Consolas"/>
          <w:sz w:val="18"/>
        </w:rPr>
        <w:t xml:space="preserve">   ↙                 ↓                  ↘</w:t>
      </w:r>
    </w:p>
    <w:p>
      <w:pPr>
        <w:jc w:val="center"/>
      </w:pPr>
      <w:r>
        <w:rPr>
          <w:rFonts w:ascii="Consolas" w:hAnsi="Consolas"/>
          <w:sz w:val="18"/>
        </w:rPr>
        <w:t>Read-only SQL      RAG retrieval       Rules / approval policy</w:t>
      </w:r>
    </w:p>
    <w:p>
      <w:pPr>
        <w:jc w:val="center"/>
      </w:pPr>
      <w:r>
        <w:rPr>
          <w:rFonts w:ascii="Consolas" w:hAnsi="Consolas"/>
          <w:sz w:val="18"/>
        </w:rPr>
        <w:t xml:space="preserve">   ↓                 ↓                  ↓</w:t>
      </w:r>
    </w:p>
    <w:p>
      <w:pPr>
        <w:jc w:val="center"/>
      </w:pPr>
      <w:r>
        <w:rPr>
          <w:rFonts w:ascii="Consolas" w:hAnsi="Consolas"/>
          <w:sz w:val="18"/>
        </w:rPr>
        <w:t>MES.db          Reference PDFs      approvals.db</w:t>
      </w:r>
    </w:p>
    <w:p>
      <w:pPr>
        <w:jc w:val="center"/>
      </w:pPr>
      <w:r>
        <w:rPr>
          <w:rFonts w:ascii="Consolas" w:hAnsi="Consolas"/>
          <w:sz w:val="18"/>
        </w:rPr>
        <w:t xml:space="preserve">   ↘                 ↓                  ↙</w:t>
      </w:r>
    </w:p>
    <w:p>
      <w:pPr>
        <w:jc w:val="center"/>
      </w:pPr>
      <w:r>
        <w:rPr>
          <w:rFonts w:ascii="Consolas" w:hAnsi="Consolas"/>
          <w:sz w:val="18"/>
        </w:rPr>
        <w:t>Evidence aggregation → LLM synthesis → structured response + audit reference</w:t>
      </w:r>
    </w:p>
    <w:p>
      <w:pPr>
        <w:pStyle w:val="Heading1"/>
      </w:pPr>
      <w:r>
        <w:t>4. Component responsibilities</w:t>
      </w:r>
    </w:p>
    <w:tbl>
      <w:tblPr>
        <w:tblStyle w:val="LightShading-Accent1"/>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Streamlit UI</w:t>
            </w:r>
          </w:p>
        </w:tc>
        <w:tc>
          <w:tcPr>
            <w:tcW w:type="dxa" w:w="5040"/>
          </w:tcPr>
          <w:p>
            <w:r>
              <w:t>Collects the question and workflow inputs; displays status, findings, evidence, data gaps, and approval state.</w:t>
            </w:r>
          </w:p>
        </w:tc>
      </w:tr>
      <w:tr>
        <w:tc>
          <w:tcPr>
            <w:tcW w:type="dxa" w:w="5040"/>
          </w:tcPr>
          <w:p>
            <w:r>
              <w:t>FastAPI routes</w:t>
            </w:r>
          </w:p>
        </w:tc>
        <w:tc>
          <w:tcPr>
            <w:tcW w:type="dxa" w:w="5040"/>
          </w:tcPr>
          <w:p>
            <w:r>
              <w:t>Expose separate endpoints for predictive maintenance, RCA, defect monitoring, approval status/decision, and health.</w:t>
            </w:r>
          </w:p>
        </w:tc>
      </w:tr>
      <w:tr>
        <w:tc>
          <w:tcPr>
            <w:tcW w:type="dxa" w:w="5040"/>
          </w:tcPr>
          <w:p>
            <w:r>
              <w:t>Workflow/service layer</w:t>
            </w:r>
          </w:p>
        </w:tc>
        <w:tc>
          <w:tcPr>
            <w:tcW w:type="dxa" w:w="5040"/>
          </w:tcPr>
          <w:p>
            <w:r>
              <w:t>Coordinates tools and response construction for each operational use case.</w:t>
            </w:r>
          </w:p>
        </w:tc>
      </w:tr>
      <w:tr>
        <w:tc>
          <w:tcPr>
            <w:tcW w:type="dxa" w:w="5040"/>
          </w:tcPr>
          <w:p>
            <w:r>
              <w:t>Read-only SQLite client</w:t>
            </w:r>
          </w:p>
        </w:tc>
        <w:tc>
          <w:tcPr>
            <w:tcW w:type="dxa" w:w="5040"/>
          </w:tcPr>
          <w:p>
            <w:r>
              <w:t>Provides controlled, read-only access to MES.db; avoids allowing the LLM to execute arbitrary writes.</w:t>
            </w:r>
          </w:p>
        </w:tc>
      </w:tr>
      <w:tr>
        <w:tc>
          <w:tcPr>
            <w:tcW w:type="dxa" w:w="5040"/>
          </w:tcPr>
          <w:p>
            <w:r>
              <w:t>RAG retrieval</w:t>
            </w:r>
          </w:p>
        </w:tc>
        <w:tc>
          <w:tcPr>
            <w:tcW w:type="dxa" w:w="5040"/>
          </w:tcPr>
          <w:p>
            <w:r>
              <w:t>Retrieves relevant passages from manufacturing reference documents and preserves source metadata for traceability.</w:t>
            </w:r>
          </w:p>
        </w:tc>
      </w:tr>
      <w:tr>
        <w:tc>
          <w:tcPr>
            <w:tcW w:type="dxa" w:w="5040"/>
          </w:tcPr>
          <w:p>
            <w:r>
              <w:t>Rules and decision policy</w:t>
            </w:r>
          </w:p>
        </w:tc>
        <w:tc>
          <w:tcPr>
            <w:tcW w:type="dxa" w:w="5040"/>
          </w:tcPr>
          <w:p>
            <w:r>
              <w:t>Applies deterministic thresholds/conditions where configured and determines when human approval is required.</w:t>
            </w:r>
          </w:p>
        </w:tc>
      </w:tr>
      <w:tr>
        <w:tc>
          <w:tcPr>
            <w:tcW w:type="dxa" w:w="5040"/>
          </w:tcPr>
          <w:p>
            <w:r>
              <w:t>Approval repository</w:t>
            </w:r>
          </w:p>
        </w:tc>
        <w:tc>
          <w:tcPr>
            <w:tcW w:type="dxa" w:w="5040"/>
          </w:tcPr>
          <w:p>
            <w:r>
              <w:t>Persists pending and final approval decisions in a separate SQLite database; prevents changing a non-pending decision.</w:t>
            </w:r>
          </w:p>
        </w:tc>
      </w:tr>
      <w:tr>
        <w:tc>
          <w:tcPr>
            <w:tcW w:type="dxa" w:w="5040"/>
          </w:tcPr>
          <w:p>
            <w:r>
              <w:t>LLM synthesis</w:t>
            </w:r>
          </w:p>
        </w:tc>
        <w:tc>
          <w:tcPr>
            <w:tcW w:type="dxa" w:w="5040"/>
          </w:tcPr>
          <w:p>
            <w:r>
              <w:t>Summarizes tool evidence and explains recommendations; should not replace authoritative database facts or policy checks.</w:t>
            </w:r>
          </w:p>
        </w:tc>
      </w:tr>
    </w:tbl>
    <w:p>
      <w:pPr>
        <w:pStyle w:val="Heading1"/>
      </w:pPr>
      <w:r>
        <w:t>5. Use-case behavior</w:t>
      </w:r>
    </w:p>
    <w:p>
      <w:pPr>
        <w:pStyle w:val="Heading2"/>
      </w:pPr>
      <w:r>
        <w:t>Predictive maintenance</w:t>
      </w:r>
    </w:p>
    <w:p>
      <w:r>
        <w:t>Combine machine/sensor/condition-monitoring data and predictive-maintenance records with maintenance guidance. Return risk/status, supporting facts, data gaps, and recommended next steps. Critical recommendations can require supervisor approval.</w:t>
      </w:r>
    </w:p>
    <w:p>
      <w:pPr>
        <w:pStyle w:val="Heading2"/>
      </w:pPr>
      <w:r>
        <w:t>Root cause analysis</w:t>
      </w:r>
    </w:p>
    <w:p>
      <w:r>
        <w:t>Combine defect/quality/work-order evidence with RCA guidance. Distinguish confirmed observations from hypotheses and present corrective/preventive actions as recommendations, not facts unless supported.</w:t>
      </w:r>
    </w:p>
    <w:p>
      <w:pPr>
        <w:pStyle w:val="Heading2"/>
      </w:pPr>
      <w:r>
        <w:t>Defect monitoring</w:t>
      </w:r>
    </w:p>
    <w:p>
      <w:r>
        <w:t>Summarize defect trends by available dimensions, evaluate configured thresholds, and identify cases for escalation. Make data coverage and limitations visible.</w:t>
      </w:r>
    </w:p>
    <w:p>
      <w:pPr>
        <w:pStyle w:val="Heading1"/>
      </w:pPr>
      <w:r>
        <w:t>6. Data and knowledge integration</w:t>
      </w:r>
    </w:p>
    <w:p>
      <w:r>
        <w:t>Structured facts come from the supplied MES SQLite database. Queries should be read-only, bounded, and reviewable. Unstructured knowledge comes from the supplied manufacturing PDFs, including the KPI Handbook, RCA Guide, and Predictive Maintenance material. Retrieved evidence should retain document/source identifiers and page metadata where available. A documented limit should be tied to a specific retrieved passage and a specific MES measurement; the response should disclose when either side is missing.</w:t>
      </w:r>
    </w:p>
    <w:p>
      <w:r>
        <w:t>Freshness is bounded by the mock database and local document index supplied for the assignment. This is a prototype, not a live MES integration; production deployment would need ingestion timestamps, index versioning, document lifecycle management, and source-level access control.</w:t>
      </w:r>
    </w:p>
    <w:p>
      <w:pPr>
        <w:pStyle w:val="Heading1"/>
      </w:pPr>
      <w:r>
        <w:t>7. Human-in-the-loop approval</w:t>
      </w:r>
    </w:p>
    <w:p>
      <w:r>
        <w:t>When policy marks a recommendation as requiring approval, the workflow records a PENDING approval. A supervisor submits an explicit approve/reject decision with a reason. The backend persists the status, approver identity, reason, and timestamps; decisions should be accepted only while the record is pending. The local prototype uses API-key authentication for approval endpoints. The backend reads the X-API-Key header and resolves the approver identity and role from server-side APPROVAL_API_KEYS configuration; a client-supplied supervisor ID alone does not establish identity. Supervisor-role authorization is required to approve or reject a recommendation. This local API-key setup is for demonstration and should be integrated with enterprise identity, secure secret management, and production-grade role-based access controls before deployment.</w:t>
      </w:r>
    </w:p>
    <w:p>
      <w:r>
        <w:t>Approval authorizes the recorded recommendation only. The prototype does not automatically stop equipment or execute physical interventions after approval; a separate execution adapter, action allow-list, idempotency, precondition checks, and safety interlocks would be required.</w:t>
      </w:r>
    </w:p>
    <w:p>
      <w:pPr>
        <w:pStyle w:val="Heading1"/>
      </w:pPr>
      <w:r>
        <w:t>8. API and interface summary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GET</w:t>
            </w:r>
          </w:p>
        </w:tc>
        <w:tc>
          <w:tcPr>
            <w:tcW w:type="dxa" w:w="3360"/>
          </w:tcPr>
          <w:p>
            <w:r>
              <w:t>/health</w:t>
            </w:r>
          </w:p>
        </w:tc>
        <w:tc>
          <w:tcPr>
            <w:tcW w:type="dxa" w:w="3360"/>
          </w:tcPr>
          <w:p>
            <w:r>
              <w:t>Service health check</w:t>
            </w:r>
          </w:p>
        </w:tc>
      </w:tr>
      <w:tr>
        <w:tc>
          <w:tcPr>
            <w:tcW w:type="dxa" w:w="3360"/>
          </w:tcPr>
          <w:p>
            <w:r>
              <w:t>POST</w:t>
            </w:r>
          </w:p>
        </w:tc>
        <w:tc>
          <w:tcPr>
            <w:tcW w:type="dxa" w:w="3360"/>
          </w:tcPr>
          <w:p>
            <w:r>
              <w:t>/api/v1/maintenance/investigate</w:t>
            </w:r>
          </w:p>
        </w:tc>
        <w:tc>
          <w:tcPr>
            <w:tcW w:type="dxa" w:w="3360"/>
          </w:tcPr>
          <w:p>
            <w:r>
              <w:t>Predictive maintenance investigation</w:t>
            </w:r>
          </w:p>
        </w:tc>
      </w:tr>
      <w:tr>
        <w:tc>
          <w:tcPr>
            <w:tcW w:type="dxa" w:w="3360"/>
          </w:tcPr>
          <w:p>
            <w:r>
              <w:t>POST</w:t>
            </w:r>
          </w:p>
        </w:tc>
        <w:tc>
          <w:tcPr>
            <w:tcW w:type="dxa" w:w="3360"/>
          </w:tcPr>
          <w:p>
            <w:r>
              <w:t>/api/v1/rca/investigate</w:t>
            </w:r>
          </w:p>
        </w:tc>
        <w:tc>
          <w:tcPr>
            <w:tcW w:type="dxa" w:w="3360"/>
          </w:tcPr>
          <w:p>
            <w:r>
              <w:t>Root cause analysis</w:t>
            </w:r>
          </w:p>
        </w:tc>
      </w:tr>
      <w:tr>
        <w:tc>
          <w:tcPr>
            <w:tcW w:type="dxa" w:w="3360"/>
          </w:tcPr>
          <w:p>
            <w:r>
              <w:t>POST</w:t>
            </w:r>
          </w:p>
        </w:tc>
        <w:tc>
          <w:tcPr>
            <w:tcW w:type="dxa" w:w="3360"/>
          </w:tcPr>
          <w:p>
            <w:r>
              <w:t>/api/v1/defects/monitor</w:t>
            </w:r>
          </w:p>
        </w:tc>
        <w:tc>
          <w:tcPr>
            <w:tcW w:type="dxa" w:w="3360"/>
          </w:tcPr>
          <w:p>
            <w:r>
              <w:t>Defect monitoring</w:t>
            </w:r>
          </w:p>
        </w:tc>
      </w:tr>
      <w:tr>
        <w:tc>
          <w:tcPr>
            <w:tcW w:type="dxa" w:w="3360"/>
          </w:tcPr>
          <w:p>
            <w:r>
              <w:t>GET</w:t>
            </w:r>
          </w:p>
        </w:tc>
        <w:tc>
          <w:tcPr>
            <w:tcW w:type="dxa" w:w="3360"/>
          </w:tcPr>
          <w:p>
            <w:r>
              <w:t>/api/v1/approvals/{request_id}</w:t>
            </w:r>
          </w:p>
        </w:tc>
        <w:tc>
          <w:tcPr>
            <w:tcW w:type="dxa" w:w="3360"/>
          </w:tcPr>
          <w:p>
            <w:r>
              <w:t>Read approval state</w:t>
            </w:r>
          </w:p>
        </w:tc>
      </w:tr>
      <w:tr>
        <w:tc>
          <w:tcPr>
            <w:tcW w:type="dxa" w:w="3360"/>
          </w:tcPr>
          <w:p>
            <w:r>
              <w:t>POST</w:t>
            </w:r>
          </w:p>
        </w:tc>
        <w:tc>
          <w:tcPr>
            <w:tcW w:type="dxa" w:w="3360"/>
          </w:tcPr>
          <w:p>
            <w:r>
              <w:t>/api/v1/approvals/{request_id}/decision</w:t>
            </w:r>
          </w:p>
        </w:tc>
        <w:tc>
          <w:tcPr>
            <w:tcW w:type="dxa" w:w="3360"/>
          </w:tcPr>
          <w:p>
            <w:r>
              <w:t>Submit approve/reject decision</w:t>
            </w:r>
          </w:p>
        </w:tc>
      </w:tr>
    </w:tbl>
    <w:p>
      <w:pPr>
        <w:pStyle w:val="Heading1"/>
      </w:pPr>
      <w:r>
        <w:t>9. Observability, security and scalability</w:t>
      </w:r>
    </w:p>
    <w:p>
      <w:pPr>
        <w:pStyle w:val="ListBullet"/>
      </w:pPr>
      <w:r>
        <w:t>Correlation: carry a request ID across UI, API, workflow and evidence output so failures can be diagnosed.</w:t>
      </w:r>
    </w:p>
    <w:p>
      <w:pPr>
        <w:pStyle w:val="ListBullet"/>
      </w:pPr>
      <w:r>
        <w:t>Logs: record workflow, duration, tool outcomes, errors and approval transitions; avoid logging secrets or unnecessary sensitive content.</w:t>
      </w:r>
    </w:p>
    <w:p>
      <w:pPr>
        <w:pStyle w:val="ListBullet"/>
      </w:pPr>
      <w:r>
        <w:t>Metrics: track request count, error rate, latency percentiles, LLM timeouts, retrieval failures, and approval wait time.</w:t>
      </w:r>
    </w:p>
    <w:p>
      <w:pPr>
        <w:pStyle w:val="ListBullet"/>
      </w:pPr>
      <w:r>
        <w:t>Tracing: API-level OpenTelemetry spans are instrumented in the current code. Validate the runtime trace output and configure exporters/collection before claiming end-to-end distributed tracing across workflow, SQL, RAG, and LLM calls.</w:t>
      </w:r>
    </w:p>
    <w:p>
      <w:pPr>
        <w:pStyle w:val="ListBullet"/>
      </w:pPr>
      <w:r>
        <w:t>Security: use read-only database access, input validation, bounded queries, least privilege, secrets via environment/secret manager, and authenticated role-based approval in production.</w:t>
      </w:r>
    </w:p>
    <w:p>
      <w:pPr>
        <w:pStyle w:val="ListBullet"/>
      </w:pPr>
      <w:r>
        <w:t>Scalability: separate API from long-running workers; add queue-backed jobs, retries with limits, timeouts, caching and a pluggable vector store when workload requires it.</w:t>
      </w:r>
    </w:p>
    <w:p>
      <w:pPr>
        <w:pStyle w:val="Heading1"/>
      </w:pPr>
      <w:r>
        <w:t>10. Evaluation plan</w:t>
      </w:r>
    </w:p>
    <w:p>
      <w:r>
        <w:t>Evaluate with a small fixed question set for all three workflows and approval edge cases. Score factual correctness against SQL ground truth, evidence support and provenance, whether limitations are disclosed, and end-to-end latency. For RAG, track Recall@K, Precision@K and MRR where labeled relevant passages are available; assess answer faithfulness and relevance separately. Record failures rather than hiding them.</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Test ID</w:t>
            </w:r>
          </w:p>
        </w:tc>
        <w:tc>
          <w:tcPr>
            <w:tcW w:type="dxa" w:w="3360"/>
          </w:tcPr>
          <w:p>
            <w:r>
              <w:t>Scenario</w:t>
            </w:r>
          </w:p>
        </w:tc>
        <w:tc>
          <w:tcPr>
            <w:tcW w:type="dxa" w:w="3360"/>
          </w:tcPr>
          <w:p>
            <w:r>
              <w:t>Expected result</w:t>
            </w:r>
          </w:p>
        </w:tc>
      </w:tr>
      <w:tr>
        <w:tc>
          <w:tcPr>
            <w:tcW w:type="dxa" w:w="3360"/>
          </w:tcPr>
          <w:p>
            <w:r>
              <w:t>PM-01</w:t>
            </w:r>
          </w:p>
        </w:tc>
        <w:tc>
          <w:tcPr>
            <w:tcW w:type="dxa" w:w="3360"/>
          </w:tcPr>
          <w:p>
            <w:r>
              <w:t>Machine health question</w:t>
            </w:r>
          </w:p>
        </w:tc>
        <w:tc>
          <w:tcPr>
            <w:tcW w:type="dxa" w:w="3360"/>
          </w:tcPr>
          <w:p>
            <w:r>
              <w:t>Status and recommendation agree with MES evidence; missing sensors disclosed</w:t>
            </w:r>
          </w:p>
        </w:tc>
      </w:tr>
      <w:tr>
        <w:tc>
          <w:tcPr>
            <w:tcW w:type="dxa" w:w="3360"/>
          </w:tcPr>
          <w:p>
            <w:r>
              <w:t>RCA-01</w:t>
            </w:r>
          </w:p>
        </w:tc>
        <w:tc>
          <w:tcPr>
            <w:tcW w:type="dxa" w:w="3360"/>
          </w:tcPr>
          <w:p>
            <w:r>
              <w:t>Recurring/critical defect</w:t>
            </w:r>
          </w:p>
        </w:tc>
        <w:tc>
          <w:tcPr>
            <w:tcW w:type="dxa" w:w="3360"/>
          </w:tcPr>
          <w:p>
            <w:r>
              <w:t>Facts separated from hypotheses; evidence and RCA steps cited</w:t>
            </w:r>
          </w:p>
        </w:tc>
      </w:tr>
      <w:tr>
        <w:tc>
          <w:tcPr>
            <w:tcW w:type="dxa" w:w="3360"/>
          </w:tcPr>
          <w:p>
            <w:r>
              <w:t>DEF-01</w:t>
            </w:r>
          </w:p>
        </w:tc>
        <w:tc>
          <w:tcPr>
            <w:tcW w:type="dxa" w:w="3360"/>
          </w:tcPr>
          <w:p>
            <w:r>
              <w:t>Defect trend/threshold</w:t>
            </w:r>
          </w:p>
        </w:tc>
        <w:tc>
          <w:tcPr>
            <w:tcW w:type="dxa" w:w="3360"/>
          </w:tcPr>
          <w:p>
            <w:r>
              <w:t>Counts/ratios reproducible; threshold source and period explicit</w:t>
            </w:r>
          </w:p>
        </w:tc>
      </w:tr>
      <w:tr>
        <w:tc>
          <w:tcPr>
            <w:tcW w:type="dxa" w:w="3360"/>
          </w:tcPr>
          <w:p>
            <w:r>
              <w:t>APR-01</w:t>
            </w:r>
          </w:p>
        </w:tc>
        <w:tc>
          <w:tcPr>
            <w:tcW w:type="dxa" w:w="3360"/>
          </w:tcPr>
          <w:p>
            <w:r>
              <w:t>Critical finding</w:t>
            </w:r>
          </w:p>
        </w:tc>
        <w:tc>
          <w:tcPr>
            <w:tcW w:type="dxa" w:w="3360"/>
          </w:tcPr>
          <w:p>
            <w:r>
              <w:t>Approval starts as PENDING</w:t>
            </w:r>
          </w:p>
        </w:tc>
      </w:tr>
      <w:tr>
        <w:tc>
          <w:tcPr>
            <w:tcW w:type="dxa" w:w="3360"/>
          </w:tcPr>
          <w:p>
            <w:r>
              <w:t>APR-02</w:t>
            </w:r>
          </w:p>
        </w:tc>
        <w:tc>
          <w:tcPr>
            <w:tcW w:type="dxa" w:w="3360"/>
          </w:tcPr>
          <w:p>
            <w:r>
              <w:t>Approve with reason</w:t>
            </w:r>
          </w:p>
        </w:tc>
        <w:tc>
          <w:tcPr>
            <w:tcW w:type="dxa" w:w="3360"/>
          </w:tcPr>
          <w:p>
            <w:r>
              <w:t>APPROVED persisted with approver/reason/timestamp</w:t>
            </w:r>
          </w:p>
        </w:tc>
      </w:tr>
      <w:tr>
        <w:tc>
          <w:tcPr>
            <w:tcW w:type="dxa" w:w="3360"/>
          </w:tcPr>
          <w:p>
            <w:r>
              <w:t>APR-03</w:t>
            </w:r>
          </w:p>
        </w:tc>
        <w:tc>
          <w:tcPr>
            <w:tcW w:type="dxa" w:w="3360"/>
          </w:tcPr>
          <w:p>
            <w:r>
              <w:t>Reject with reason</w:t>
            </w:r>
          </w:p>
        </w:tc>
        <w:tc>
          <w:tcPr>
            <w:tcW w:type="dxa" w:w="3360"/>
          </w:tcPr>
          <w:p>
            <w:r>
              <w:t>REJECTED persisted with approver/reason/timestamp</w:t>
            </w:r>
          </w:p>
        </w:tc>
      </w:tr>
      <w:tr>
        <w:tc>
          <w:tcPr>
            <w:tcW w:type="dxa" w:w="3360"/>
          </w:tcPr>
          <w:p>
            <w:r>
              <w:t>APR-04</w:t>
            </w:r>
          </w:p>
        </w:tc>
        <w:tc>
          <w:tcPr>
            <w:tcW w:type="dxa" w:w="3360"/>
          </w:tcPr>
          <w:p>
            <w:r>
              <w:t>Missing reason / invalid ID</w:t>
            </w:r>
          </w:p>
        </w:tc>
        <w:tc>
          <w:tcPr>
            <w:tcW w:type="dxa" w:w="3360"/>
          </w:tcPr>
          <w:p>
            <w:r>
              <w:t>Validation or authorization error; no state change</w:t>
            </w:r>
          </w:p>
        </w:tc>
      </w:tr>
      <w:tr>
        <w:tc>
          <w:tcPr>
            <w:tcW w:type="dxa" w:w="3360"/>
          </w:tcPr>
          <w:p>
            <w:r>
              <w:t>APR-05</w:t>
            </w:r>
          </w:p>
        </w:tc>
        <w:tc>
          <w:tcPr>
            <w:tcW w:type="dxa" w:w="3360"/>
          </w:tcPr>
          <w:p>
            <w:r>
              <w:t>Duplicate decision</w:t>
            </w:r>
          </w:p>
        </w:tc>
        <w:tc>
          <w:tcPr>
            <w:tcW w:type="dxa" w:w="3360"/>
          </w:tcPr>
          <w:p>
            <w:r>
              <w:t>Conflict returned; prior decision unchanged</w:t>
            </w:r>
          </w:p>
        </w:tc>
      </w:tr>
      <w:tr>
        <w:tc>
          <w:tcPr>
            <w:tcW w:type="dxa" w:w="3360"/>
          </w:tcPr>
          <w:p>
            <w:r>
              <w:t>APR-06</w:t>
            </w:r>
          </w:p>
        </w:tc>
        <w:tc>
          <w:tcPr>
            <w:tcW w:type="dxa" w:w="3360"/>
          </w:tcPr>
          <w:p>
            <w:r>
              <w:t>Restart backend</w:t>
            </w:r>
          </w:p>
        </w:tc>
        <w:tc>
          <w:tcPr>
            <w:tcW w:type="dxa" w:w="3360"/>
          </w:tcPr>
          <w:p>
            <w:r>
              <w:t>Decision remains persisted</w:t>
            </w:r>
          </w:p>
        </w:tc>
      </w:tr>
      <w:tr>
        <w:tc>
          <w:tcPr>
            <w:tcW w:type="dxa" w:w="3360"/>
          </w:tcPr>
          <w:p>
            <w:r>
              <w:t>API-01</w:t>
            </w:r>
          </w:p>
        </w:tc>
        <w:tc>
          <w:tcPr>
            <w:tcW w:type="dxa" w:w="3360"/>
          </w:tcPr>
          <w:p>
            <w:r>
              <w:t>Invalid request / unavailable LLM</w:t>
            </w:r>
          </w:p>
        </w:tc>
        <w:tc>
          <w:tcPr>
            <w:tcW w:type="dxa" w:w="3360"/>
          </w:tcPr>
          <w:p>
            <w:r>
              <w:t>Controlled error, useful request reference, no fabricated success</w:t>
            </w:r>
          </w:p>
        </w:tc>
      </w:tr>
    </w:tbl>
    <w:p>
      <w:r>
        <w:t>Final run results must be recorded from the actual environment immediately before submission. Do not report a scenario as passed unless the corresponding test or manual check was executed.</w:t>
      </w:r>
    </w:p>
    <w:p>
      <w:pPr>
        <w:pStyle w:val="Heading1"/>
      </w:pPr>
      <w:r>
        <w:t>11. Limitations and six-month roadmap</w:t>
      </w:r>
    </w:p>
    <w:p>
      <w:pPr>
        <w:pStyle w:val="ListBullet"/>
      </w:pPr>
      <w:r>
        <w:t>The dataset and documents are mock assignment inputs, not a production integration.</w:t>
      </w:r>
    </w:p>
    <w:p>
      <w:pPr>
        <w:pStyle w:val="ListBullet"/>
      </w:pPr>
      <w:r>
        <w:t>Local LLM output can be slow and can still make mistakes; deterministic validation and evidence inspection remain necessary.</w:t>
      </w:r>
    </w:p>
    <w:p>
      <w:pPr>
        <w:pStyle w:val="ListBullet"/>
      </w:pPr>
      <w:r>
        <w:t>Thresholds, document coverage, and source freshness may be incomplete; the system should show data gaps rather than infer missing values.</w:t>
      </w:r>
    </w:p>
    <w:p>
      <w:pPr>
        <w:pStyle w:val="ListBullet"/>
      </w:pPr>
      <w:r>
        <w:t>The local approval demo uses configured API keys and roles. These are demonstration credentials, not a substitute for enterprise identity, secure secret management, and production-grade authorization.</w:t>
      </w:r>
    </w:p>
    <w:p>
      <w:pPr>
        <w:pStyle w:val="ListBullet"/>
      </w:pPr>
      <w:r>
        <w:t>No real machine-control action is executed after approval.</w:t>
      </w:r>
    </w:p>
    <w:p>
      <w:pPr>
        <w:pStyle w:val="ListBullet"/>
      </w:pPr>
      <w:r>
        <w:t>Over six months: production identity/RBAC, durable job queue, versioned knowledge ingestion, richer evaluation dataset, telemetry/tracing, human feedback loop, deployment hardening, and controlled MES/CMMS execution integration with safety gates.</w:t>
      </w:r>
    </w:p>
    <w:p>
      <w:pPr>
        <w:pStyle w:val="Heading1"/>
      </w:pPr>
      <w:r>
        <w:t>Implementation status and claims</w:t>
      </w:r>
    </w:p>
    <w:p>
      <w:pPr>
        <w:spacing w:after="120"/>
      </w:pPr>
      <w:r>
        <w:t>This document distinguishes prototype behavior from production recommendations. The repository should be treated as the source of truth for implementation claims. The local prototype uses SQLite for MES data and approval persistence, a document retrieval pipeline, FastAPI endpoints, and a Streamlit interface. Do not describe a capability as implemented unless it is visible in the checked-out code and verified in a test or manual run.</w:t>
      </w:r>
    </w:p>
    <w:p>
      <w:pPr>
        <w:spacing w:after="120"/>
      </w:pPr>
      <w:r>
        <w:t>Before submission, record the latest full test-suite result and manually verify predictive maintenance, root cause analysis, defect monitoring, and approval persistence after a backend restart. Keep measured results separate from the evaluation plan; retrieval metrics such as Recall@K, Precision@K, and MRR require a labeled relevance set and should not be presented as measured if that evaluation has not been run.</w:t>
      </w:r>
    </w:p>
    <w:p>
      <w:pPr>
        <w:pStyle w:val="Heading1"/>
      </w:pPr>
      <w:r>
        <w:t>12. Run instructions</w:t>
      </w:r>
    </w:p>
    <w:p>
      <w:r>
        <w:t>Use the repository README as the authoritative environment setup. In the project virtual environment, run `python -m pytest -q` for automated tests. Start FastAPI using the project's documented command and start Streamlit using the project's documented UI command. Verify `/health`, then exercise each workflow and the approval flow. Do not include local secrets, `.env`, virtual environments, database files containing unintended sensitive data, or transient logs in the submission archive.</w:t>
      </w:r>
    </w:p>
    <w:p>
      <w:r>
        <w:t>Prepared for the Agentic AI for Manufacturing take-home assignment. Verify implementation-specific statements and test results against the final checked-out code before sending.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