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mbria" w:cs="Cambria" w:eastAsia="Cambria" w:hAnsi="Cambria"/>
          <w:b/>
          <w:bCs/>
          <w:color w:val="7A2E2E"/>
          <w:spacing w:val="20"/>
          <w:sz w:val="88"/>
          <w:szCs w:val="88"/>
        </w:rPr>
        <w:t xml:space="preserve">EXIT</w:t>
      </w:r>
    </w:p>
    <w:p>
      <w:pPr>
        <w:spacing w:after="40" w:before="100"/>
        <w:jc w:val="center"/>
      </w:pPr>
      <w:r>
        <w:rPr>
          <w:rFonts w:ascii="Cambria" w:cs="Cambria" w:eastAsia="Cambria" w:hAnsi="Cambria"/>
          <w:b/>
          <w:bCs/>
          <w:color w:val="24211C"/>
          <w:spacing w:val="10"/>
          <w:sz w:val="26"/>
          <w:szCs w:val="26"/>
        </w:rPr>
        <w:t xml:space="preserve">UN ALIGNMENT SPECIFICATION</w:t>
      </w:r>
    </w:p>
    <w:p>
      <w:pPr>
        <w:spacing w:before="260"/>
        <w:jc w:val="center"/>
      </w:pPr>
      <w:r>
        <w:rPr>
          <w:rFonts w:ascii="Garamond" w:cs="Garamond" w:eastAsia="Garamond" w:hAnsi="Garamond"/>
          <w:i/>
          <w:iCs/>
          <w:color w:val="6E6A63"/>
          <w:sz w:val="24"/>
          <w:szCs w:val="24"/>
        </w:rPr>
        <w:t xml:space="preserve">Mapping EXIT Plan, AegisVault, and LIVEGENDER</w:t>
      </w:r>
    </w:p>
    <w:p>
      <w:pPr>
        <w:spacing w:before="20"/>
        <w:jc w:val="center"/>
      </w:pPr>
      <w:r>
        <w:rPr>
          <w:rFonts w:ascii="Garamond" w:cs="Garamond" w:eastAsia="Garamond" w:hAnsi="Garamond"/>
          <w:i/>
          <w:iCs/>
          <w:color w:val="6E6A63"/>
          <w:sz w:val="24"/>
          <w:szCs w:val="24"/>
        </w:rPr>
        <w:t xml:space="preserve">to UN goals, principles, and evidence gaps</w:t>
      </w:r>
    </w:p>
    <w:p>
      <w:pPr>
        <w:pBdr>
          <w:top w:val="single" w:color="C9C2B4" w:sz="6" w:space="10"/>
        </w:pBdr>
        <w:spacing w:before="900"/>
        <w:jc w:val="center"/>
      </w:pPr>
      <w:r>
        <w:rPr>
          <w:rFonts w:ascii="Garamond" w:cs="Garamond" w:eastAsia="Garamond" w:hAnsi="Garamond"/>
          <w:color w:val="6E6A63"/>
          <w:sz w:val="20"/>
          <w:szCs w:val="20"/>
        </w:rPr>
        <w:t xml:space="preserve">SDG 5 · SDG 10 · SDG 16</w:t>
      </w:r>
    </w:p>
    <w:p>
      <w:r>
        <w:br w:type="page"/>
      </w:r>
    </w:p>
    <w:p>
      <w:pPr>
        <w:spacing w:after="260"/>
      </w:pPr>
      <w:r>
        <w:rPr>
          <w:rFonts w:ascii="Cambria" w:cs="Cambria" w:eastAsia="Cambria" w:hAnsi="Cambria"/>
          <w:b/>
          <w:bCs/>
          <w:color w:val="24211C"/>
          <w:sz w:val="30"/>
          <w:szCs w:val="30"/>
        </w:rPr>
        <w:t xml:space="preserve">Contents</w:t>
      </w:r>
    </w:p>
    <w:p>
      <w:pPr>
        <w:spacing w:after="110"/>
      </w:pPr>
      <w:r>
        <w:rPr>
          <w:rFonts w:ascii="Cambria" w:cs="Cambria" w:eastAsia="Cambria" w:hAnsi="Cambria"/>
          <w:b/>
          <w:bCs/>
          <w:color w:val="7A2E2E"/>
          <w:sz w:val="21"/>
          <w:szCs w:val="21"/>
        </w:rPr>
        <w:t xml:space="preserve">1   </w:t>
      </w:r>
      <w:r>
        <w:rPr>
          <w:rFonts w:ascii="Garamond" w:cs="Garamond" w:eastAsia="Garamond" w:hAnsi="Garamond"/>
          <w:color w:val="24211C"/>
          <w:sz w:val="21"/>
          <w:szCs w:val="21"/>
        </w:rPr>
        <w:t xml:space="preserve">UN Problem Alignment</w:t>
      </w:r>
    </w:p>
    <w:p>
      <w:pPr>
        <w:spacing w:after="110"/>
      </w:pPr>
      <w:r>
        <w:rPr>
          <w:rFonts w:ascii="Cambria" w:cs="Cambria" w:eastAsia="Cambria" w:hAnsi="Cambria"/>
          <w:b/>
          <w:bCs/>
          <w:color w:val="7A2E2E"/>
          <w:sz w:val="21"/>
          <w:szCs w:val="21"/>
        </w:rPr>
        <w:t xml:space="preserve">2   </w:t>
      </w:r>
      <w:r>
        <w:rPr>
          <w:rFonts w:ascii="Garamond" w:cs="Garamond" w:eastAsia="Garamond" w:hAnsi="Garamond"/>
          <w:color w:val="24211C"/>
          <w:sz w:val="21"/>
          <w:szCs w:val="21"/>
        </w:rPr>
        <w:t xml:space="preserve">SDG 5 Alignment — Gender Equality</w:t>
      </w:r>
    </w:p>
    <w:p>
      <w:pPr>
        <w:spacing w:after="110"/>
      </w:pPr>
      <w:r>
        <w:rPr>
          <w:rFonts w:ascii="Cambria" w:cs="Cambria" w:eastAsia="Cambria" w:hAnsi="Cambria"/>
          <w:b/>
          <w:bCs/>
          <w:color w:val="7A2E2E"/>
          <w:sz w:val="21"/>
          <w:szCs w:val="21"/>
        </w:rPr>
        <w:t xml:space="preserve">3   </w:t>
      </w:r>
      <w:r>
        <w:rPr>
          <w:rFonts w:ascii="Garamond" w:cs="Garamond" w:eastAsia="Garamond" w:hAnsi="Garamond"/>
          <w:color w:val="24211C"/>
          <w:sz w:val="21"/>
          <w:szCs w:val="21"/>
        </w:rPr>
        <w:t xml:space="preserve">SDG 10 Alignment — Reduced Inequalities</w:t>
      </w:r>
    </w:p>
    <w:p>
      <w:pPr>
        <w:spacing w:after="110"/>
      </w:pPr>
      <w:r>
        <w:rPr>
          <w:rFonts w:ascii="Cambria" w:cs="Cambria" w:eastAsia="Cambria" w:hAnsi="Cambria"/>
          <w:b/>
          <w:bCs/>
          <w:color w:val="7A2E2E"/>
          <w:sz w:val="21"/>
          <w:szCs w:val="21"/>
        </w:rPr>
        <w:t xml:space="preserve">4   </w:t>
      </w:r>
      <w:r>
        <w:rPr>
          <w:rFonts w:ascii="Garamond" w:cs="Garamond" w:eastAsia="Garamond" w:hAnsi="Garamond"/>
          <w:color w:val="24211C"/>
          <w:sz w:val="21"/>
          <w:szCs w:val="21"/>
        </w:rPr>
        <w:t xml:space="preserve">SDG 16 Alignment — Peace, Justice and Strong Institutions</w:t>
      </w:r>
    </w:p>
    <w:p>
      <w:pPr>
        <w:spacing w:after="110"/>
      </w:pPr>
      <w:r>
        <w:rPr>
          <w:rFonts w:ascii="Cambria" w:cs="Cambria" w:eastAsia="Cambria" w:hAnsi="Cambria"/>
          <w:b/>
          <w:bCs/>
          <w:color w:val="7A2E2E"/>
          <w:sz w:val="21"/>
          <w:szCs w:val="21"/>
        </w:rPr>
        <w:t xml:space="preserve">5   </w:t>
      </w:r>
      <w:r>
        <w:rPr>
          <w:rFonts w:ascii="Garamond" w:cs="Garamond" w:eastAsia="Garamond" w:hAnsi="Garamond"/>
          <w:color w:val="24211C"/>
          <w:sz w:val="21"/>
          <w:szCs w:val="21"/>
        </w:rPr>
        <w:t xml:space="preserve">UN Women Data Alignment</w:t>
      </w:r>
    </w:p>
    <w:p>
      <w:pPr>
        <w:spacing w:after="110"/>
      </w:pPr>
      <w:r>
        <w:rPr>
          <w:rFonts w:ascii="Cambria" w:cs="Cambria" w:eastAsia="Cambria" w:hAnsi="Cambria"/>
          <w:b/>
          <w:bCs/>
          <w:color w:val="7A2E2E"/>
          <w:sz w:val="21"/>
          <w:szCs w:val="21"/>
        </w:rPr>
        <w:t xml:space="preserve">6   </w:t>
      </w:r>
      <w:r>
        <w:rPr>
          <w:rFonts w:ascii="Garamond" w:cs="Garamond" w:eastAsia="Garamond" w:hAnsi="Garamond"/>
          <w:color w:val="24211C"/>
          <w:sz w:val="21"/>
          <w:szCs w:val="21"/>
        </w:rPr>
        <w:t xml:space="preserve">UNFPA Ethical-Tech Alignment</w:t>
      </w:r>
    </w:p>
    <w:p>
      <w:pPr>
        <w:spacing w:after="110"/>
      </w:pPr>
      <w:r>
        <w:rPr>
          <w:rFonts w:ascii="Cambria" w:cs="Cambria" w:eastAsia="Cambria" w:hAnsi="Cambria"/>
          <w:b/>
          <w:bCs/>
          <w:color w:val="7A2E2E"/>
          <w:sz w:val="21"/>
          <w:szCs w:val="21"/>
        </w:rPr>
        <w:t xml:space="preserve">7   </w:t>
      </w:r>
      <w:r>
        <w:rPr>
          <w:rFonts w:ascii="Garamond" w:cs="Garamond" w:eastAsia="Garamond" w:hAnsi="Garamond"/>
          <w:color w:val="24211C"/>
          <w:sz w:val="21"/>
          <w:szCs w:val="21"/>
        </w:rPr>
        <w:t xml:space="preserve">Privacy and Human-Rights Alignment</w:t>
      </w:r>
    </w:p>
    <w:p>
      <w:pPr>
        <w:spacing w:after="110"/>
      </w:pPr>
      <w:r>
        <w:rPr>
          <w:rFonts w:ascii="Cambria" w:cs="Cambria" w:eastAsia="Cambria" w:hAnsi="Cambria"/>
          <w:b/>
          <w:bCs/>
          <w:color w:val="7A2E2E"/>
          <w:sz w:val="21"/>
          <w:szCs w:val="21"/>
        </w:rPr>
        <w:t xml:space="preserve">8   </w:t>
      </w:r>
      <w:r>
        <w:rPr>
          <w:rFonts w:ascii="Garamond" w:cs="Garamond" w:eastAsia="Garamond" w:hAnsi="Garamond"/>
          <w:color w:val="24211C"/>
          <w:sz w:val="21"/>
          <w:szCs w:val="21"/>
        </w:rPr>
        <w:t xml:space="preserve">UN-Aligned Global Operating Model</w:t>
      </w:r>
    </w:p>
    <w:p>
      <w:pPr>
        <w:spacing w:after="110"/>
      </w:pPr>
      <w:r>
        <w:rPr>
          <w:rFonts w:ascii="Cambria" w:cs="Cambria" w:eastAsia="Cambria" w:hAnsi="Cambria"/>
          <w:b/>
          <w:bCs/>
          <w:color w:val="7A2E2E"/>
          <w:sz w:val="21"/>
          <w:szCs w:val="21"/>
        </w:rPr>
        <w:t xml:space="preserve">9   </w:t>
      </w:r>
      <w:r>
        <w:rPr>
          <w:rFonts w:ascii="Garamond" w:cs="Garamond" w:eastAsia="Garamond" w:hAnsi="Garamond"/>
          <w:color w:val="24211C"/>
          <w:sz w:val="21"/>
          <w:szCs w:val="21"/>
        </w:rPr>
        <w:t xml:space="preserve">Global SDG Metrics</w:t>
      </w:r>
    </w:p>
    <w:p>
      <w:pPr>
        <w:spacing w:after="110"/>
      </w:pPr>
      <w:r>
        <w:rPr>
          <w:rFonts w:ascii="Cambria" w:cs="Cambria" w:eastAsia="Cambria" w:hAnsi="Cambria"/>
          <w:b/>
          <w:bCs/>
          <w:color w:val="7A2E2E"/>
          <w:sz w:val="21"/>
          <w:szCs w:val="21"/>
        </w:rPr>
        <w:t xml:space="preserve">10   </w:t>
      </w:r>
      <w:r>
        <w:rPr>
          <w:rFonts w:ascii="Garamond" w:cs="Garamond" w:eastAsia="Garamond" w:hAnsi="Garamond"/>
          <w:color w:val="24211C"/>
          <w:sz w:val="21"/>
          <w:szCs w:val="21"/>
        </w:rPr>
        <w:t xml:space="preserve">Exact Alignment Statement</w:t>
      </w:r>
    </w:p>
    <w:p>
      <w:pPr>
        <w:spacing w:after="110"/>
      </w:pPr>
      <w:r>
        <w:rPr>
          <w:rFonts w:ascii="Cambria" w:cs="Cambria" w:eastAsia="Cambria" w:hAnsi="Cambria"/>
          <w:b/>
          <w:bCs/>
          <w:color w:val="7A2E2E"/>
          <w:sz w:val="21"/>
          <w:szCs w:val="21"/>
        </w:rPr>
        <w:t xml:space="preserve">11   </w:t>
      </w:r>
      <w:r>
        <w:rPr>
          <w:rFonts w:ascii="Garamond" w:cs="Garamond" w:eastAsia="Garamond" w:hAnsi="Garamond"/>
          <w:color w:val="24211C"/>
          <w:sz w:val="21"/>
          <w:szCs w:val="21"/>
        </w:rPr>
        <w:t xml:space="preserve">Non-Negotiable Safeguards</w:t>
      </w:r>
    </w:p>
    <w:p>
      <w:r>
        <w:br w:type="page"/>
      </w:r>
    </w:p>
    <w:p>
      <w:pPr>
        <w:spacing w:after="160" w:line="300"/>
        <w:jc w:val="left"/>
      </w:pPr>
      <w:r>
        <w:rPr>
          <w:rFonts w:ascii="Garamond" w:cs="Garamond" w:eastAsia="Garamond" w:hAnsi="Garamond"/>
          <w:color w:val="24211C"/>
          <w:sz w:val="22"/>
          <w:szCs w:val="22"/>
        </w:rPr>
        <w:t xml:space="preserve">This document maps EXIT Plan, AegisVault, and LIVEGENDER to United Nations goals, principles, and evidence gaps. It gives the team a defensible answer to a question every reviewer will ask:</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Why is this needed, how is it aligned with the UN, and how will you avoid harming survivors?</w:t>
      </w:r>
    </w:p>
    <w:p>
      <w:pPr>
        <w:spacing w:after="100" w:before="220"/>
      </w:pPr>
      <w:r>
        <w:rPr>
          <w:rFonts w:ascii="Cambria" w:cs="Cambria" w:eastAsia="Cambria" w:hAnsi="Cambria"/>
          <w:b/>
          <w:bCs/>
          <w:i/>
          <w:iCs/>
          <w:color w:val="2F4B3C"/>
          <w:sz w:val="21"/>
          <w:szCs w:val="21"/>
        </w:rPr>
        <w:t xml:space="preserve">Project mission</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Build a survivor-owned digital pathway that helps women safely prepare for support and independence, preserve optional evidence, and — only through explicit, privacy-protected consent — help institutions understand emerging service needs.</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UN Women notes that technology-facilitated violence against women is growing while reliable, comparable data remains inadequate for designing and monitoring targeted policies and programmes.</w:t>
      </w:r>
      <w:r>
        <w:rPr>
          <w:rFonts w:ascii="Garamond" w:cs="Garamond" w:eastAsia="Garamond" w:hAnsi="Garamond"/>
          <w:color w:val="6E6A63"/>
          <w:sz w:val="18"/>
          <w:szCs w:val="18"/>
        </w:rPr>
        <w:t xml:space="preserve">  — UN Women</w:t>
      </w:r>
    </w:p>
    <w:p>
      <w:pPr>
        <w:pStyle w:val="Heading1"/>
        <w:pBdr>
          <w:bottom w:val="single" w:color="7A2E2E" w:sz="10" w:space="8"/>
        </w:pBdr>
        <w:spacing w:after="200" w:before="520"/>
      </w:pPr>
      <w:r>
        <w:rPr>
          <w:rFonts w:ascii="Cambria" w:cs="Cambria" w:eastAsia="Cambria" w:hAnsi="Cambria"/>
          <w:b/>
          <w:bCs/>
          <w:color w:val="6E6A63"/>
          <w:sz w:val="26"/>
          <w:szCs w:val="26"/>
        </w:rPr>
        <w:t xml:space="preserve">1  </w:t>
      </w:r>
      <w:r>
        <w:rPr>
          <w:rFonts w:ascii="Cambria" w:cs="Cambria" w:eastAsia="Cambria" w:hAnsi="Cambria"/>
          <w:b/>
          <w:bCs/>
          <w:color w:val="24211C"/>
          <w:spacing w:val="6"/>
          <w:sz w:val="30"/>
          <w:szCs w:val="30"/>
        </w:rPr>
        <w:t xml:space="preserve">UN Problem Alignment</w:t>
      </w:r>
    </w:p>
    <w:p>
      <w:pPr>
        <w:pStyle w:val="Heading2"/>
        <w:spacing w:after="140" w:before="340"/>
      </w:pPr>
      <w:r>
        <w:rPr>
          <w:rFonts w:ascii="Cambria" w:cs="Cambria" w:eastAsia="Cambria" w:hAnsi="Cambria"/>
          <w:b/>
          <w:bCs/>
          <w:color w:val="7A2E2E"/>
          <w:sz w:val="24"/>
          <w:szCs w:val="24"/>
        </w:rPr>
        <w:t xml:space="preserve">The global gap</w:t>
      </w:r>
    </w:p>
    <w:p>
      <w:pPr>
        <w:spacing w:after="160" w:line="300"/>
        <w:jc w:val="left"/>
      </w:pPr>
      <w:r>
        <w:rPr>
          <w:rFonts w:ascii="Garamond" w:cs="Garamond" w:eastAsia="Garamond" w:hAnsi="Garamond"/>
          <w:color w:val="24211C"/>
          <w:sz w:val="22"/>
          <w:szCs w:val="22"/>
        </w:rPr>
        <w:t xml:space="preserve">Technology-facilitated violence against women and girls (TF-VAWG) covers violence that is committed, assisted, aggravated, or amplified through ICTs and digital tools, resulting in or likely to result in physical, sexual, psychological, social, political, or economic harm.</w:t>
      </w:r>
    </w:p>
    <w:p>
      <w:pPr>
        <w:spacing w:after="160" w:line="300"/>
        <w:jc w:val="left"/>
      </w:pPr>
      <w:r>
        <w:rPr>
          <w:rFonts w:ascii="Garamond" w:cs="Garamond" w:eastAsia="Garamond" w:hAnsi="Garamond"/>
          <w:color w:val="24211C"/>
          <w:sz w:val="22"/>
          <w:szCs w:val="22"/>
        </w:rPr>
        <w:t xml:space="preserve">Examples relevant to EXIT include:</w:t>
      </w:r>
    </w:p>
    <w:p>
      <w:pPr>
        <w:pStyle w:val="ListParagraph"/>
        <w:numPr>
          <w:ilvl w:val="0"/>
          <w:numId w:val="2"/>
        </w:numPr>
        <w:spacing w:after="90"/>
      </w:pPr>
      <w:r>
        <w:rPr>
          <w:rFonts w:ascii="Garamond" w:cs="Garamond" w:eastAsia="Garamond" w:hAnsi="Garamond"/>
          <w:color w:val="24211C"/>
          <w:sz w:val="22"/>
          <w:szCs w:val="22"/>
        </w:rPr>
        <w:t xml:space="preserve">Cyberstalking and repeated unwanted contact</w:t>
      </w:r>
    </w:p>
    <w:p>
      <w:pPr>
        <w:pStyle w:val="ListParagraph"/>
        <w:numPr>
          <w:ilvl w:val="0"/>
          <w:numId w:val="2"/>
        </w:numPr>
        <w:spacing w:after="90"/>
      </w:pPr>
      <w:r>
        <w:rPr>
          <w:rFonts w:ascii="Garamond" w:cs="Garamond" w:eastAsia="Garamond" w:hAnsi="Garamond"/>
          <w:color w:val="24211C"/>
          <w:sz w:val="22"/>
          <w:szCs w:val="22"/>
        </w:rPr>
        <w:t xml:space="preserve">Doxxing</w:t>
      </w:r>
    </w:p>
    <w:p>
      <w:pPr>
        <w:pStyle w:val="ListParagraph"/>
        <w:numPr>
          <w:ilvl w:val="0"/>
          <w:numId w:val="2"/>
        </w:numPr>
        <w:spacing w:after="90"/>
      </w:pPr>
      <w:r>
        <w:rPr>
          <w:rFonts w:ascii="Garamond" w:cs="Garamond" w:eastAsia="Garamond" w:hAnsi="Garamond"/>
          <w:color w:val="24211C"/>
          <w:sz w:val="22"/>
          <w:szCs w:val="22"/>
        </w:rPr>
        <w:t xml:space="preserve">Impersonation</w:t>
      </w:r>
    </w:p>
    <w:p>
      <w:pPr>
        <w:pStyle w:val="ListParagraph"/>
        <w:numPr>
          <w:ilvl w:val="0"/>
          <w:numId w:val="2"/>
        </w:numPr>
        <w:spacing w:after="90"/>
      </w:pPr>
      <w:r>
        <w:rPr>
          <w:rFonts w:ascii="Garamond" w:cs="Garamond" w:eastAsia="Garamond" w:hAnsi="Garamond"/>
          <w:color w:val="24211C"/>
          <w:sz w:val="22"/>
          <w:szCs w:val="22"/>
        </w:rPr>
        <w:t xml:space="preserve">Image-based abuse</w:t>
      </w:r>
    </w:p>
    <w:p>
      <w:pPr>
        <w:pStyle w:val="ListParagraph"/>
        <w:numPr>
          <w:ilvl w:val="0"/>
          <w:numId w:val="2"/>
        </w:numPr>
        <w:spacing w:after="90"/>
      </w:pPr>
      <w:r>
        <w:rPr>
          <w:rFonts w:ascii="Garamond" w:cs="Garamond" w:eastAsia="Garamond" w:hAnsi="Garamond"/>
          <w:color w:val="24211C"/>
          <w:sz w:val="22"/>
          <w:szCs w:val="22"/>
        </w:rPr>
        <w:t xml:space="preserve">Sextortion</w:t>
      </w:r>
    </w:p>
    <w:p>
      <w:pPr>
        <w:pStyle w:val="ListParagraph"/>
        <w:numPr>
          <w:ilvl w:val="0"/>
          <w:numId w:val="2"/>
        </w:numPr>
        <w:spacing w:after="90"/>
      </w:pPr>
      <w:r>
        <w:rPr>
          <w:rFonts w:ascii="Garamond" w:cs="Garamond" w:eastAsia="Garamond" w:hAnsi="Garamond"/>
          <w:color w:val="24211C"/>
          <w:sz w:val="22"/>
          <w:szCs w:val="22"/>
        </w:rPr>
        <w:t xml:space="preserve">Threats and coordinated online harassment</w:t>
      </w:r>
    </w:p>
    <w:p>
      <w:pPr>
        <w:pStyle w:val="ListParagraph"/>
        <w:numPr>
          <w:ilvl w:val="0"/>
          <w:numId w:val="2"/>
        </w:numPr>
        <w:spacing w:after="90"/>
      </w:pPr>
      <w:r>
        <w:rPr>
          <w:rFonts w:ascii="Garamond" w:cs="Garamond" w:eastAsia="Garamond" w:hAnsi="Garamond"/>
          <w:color w:val="24211C"/>
          <w:sz w:val="22"/>
          <w:szCs w:val="22"/>
        </w:rPr>
        <w:t xml:space="preserve">Account compromise and digital coercive control</w:t>
      </w:r>
    </w:p>
    <w:p>
      <w:pPr>
        <w:pStyle w:val="ListParagraph"/>
        <w:numPr>
          <w:ilvl w:val="0"/>
          <w:numId w:val="2"/>
        </w:numPr>
        <w:spacing w:after="90"/>
      </w:pPr>
      <w:r>
        <w:rPr>
          <w:rFonts w:ascii="Garamond" w:cs="Garamond" w:eastAsia="Garamond" w:hAnsi="Garamond"/>
          <w:color w:val="24211C"/>
          <w:sz w:val="22"/>
          <w:szCs w:val="22"/>
        </w:rPr>
        <w:t xml:space="preserve">Location-tracking abuse</w:t>
      </w:r>
    </w:p>
    <w:p>
      <w:pPr>
        <w:pStyle w:val="ListParagraph"/>
        <w:numPr>
          <w:ilvl w:val="0"/>
          <w:numId w:val="2"/>
        </w:numPr>
        <w:spacing w:after="90"/>
      </w:pPr>
      <w:r>
        <w:rPr>
          <w:rFonts w:ascii="Garamond" w:cs="Garamond" w:eastAsia="Garamond" w:hAnsi="Garamond"/>
          <w:color w:val="24211C"/>
          <w:sz w:val="22"/>
          <w:szCs w:val="22"/>
        </w:rPr>
        <w:t xml:space="preserve">Suspected AI-manipulated or deepfake-enabled abuse</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UN Women identifies persistent gaps in knowledge of the scale, forms, intersectional impacts, and links between online and offline violence, and highlights methodological, ethical, and sociopolitical issues in collecting data about this violence.</w:t>
      </w:r>
      <w:r>
        <w:rPr>
          <w:rFonts w:ascii="Garamond" w:cs="Garamond" w:eastAsia="Garamond" w:hAnsi="Garamond"/>
          <w:color w:val="6E6A63"/>
          <w:sz w:val="18"/>
          <w:szCs w:val="18"/>
        </w:rPr>
        <w:t xml:space="preserve">  — UN Women</w:t>
      </w:r>
    </w:p>
    <w:p>
      <w:pPr>
        <w:pStyle w:val="Heading2"/>
        <w:spacing w:after="140" w:before="340"/>
      </w:pPr>
      <w:r>
        <w:rPr>
          <w:rFonts w:ascii="Cambria" w:cs="Cambria" w:eastAsia="Cambria" w:hAnsi="Cambria"/>
          <w:b/>
          <w:bCs/>
          <w:color w:val="7A2E2E"/>
          <w:sz w:val="24"/>
          <w:szCs w:val="24"/>
        </w:rPr>
        <w:t xml:space="preserve">EXIT's response</w:t>
      </w:r>
    </w:p>
    <w:tbl>
      <w:tblPr>
        <w:tblW w:type="dxa" w:w="9350"/>
        <w:tblBorders>
          <w:top w:val="single" w:color="C9C2B4" w:sz="4"/>
          <w:left w:val="single" w:color="C9C2B4" w:sz="4"/>
          <w:bottom w:val="single" w:color="C9C2B4" w:sz="4"/>
          <w:right w:val="single" w:color="C9C2B4" w:sz="4"/>
          <w:insideH w:val="single" w:color="C9C2B4" w:sz="4"/>
          <w:insideV w:val="single" w:color="C9C2B4" w:sz="4"/>
        </w:tblBorders>
      </w:tblPr>
      <w:tblGrid>
        <w:gridCol w:w="3800"/>
        <w:gridCol w:w="5550"/>
      </w:tblGrid>
      <w:tr>
        <w:trPr>
          <w:cantSplit/>
          <w:tblHeader/>
        </w:trPr>
        <w:tc>
          <w:tcPr>
            <w:tcW w:type="dxa" w:w="38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UN-identified challenge</w:t>
            </w:r>
          </w:p>
        </w:tc>
        <w:tc>
          <w:tcPr>
            <w:tcW w:type="dxa" w:w="555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EXIT response</w:t>
            </w:r>
          </w:p>
        </w:tc>
      </w:tr>
      <w:tr>
        <w:trPr>
          <w:cantSplit/>
        </w:trPr>
        <w:tc>
          <w:tcPr>
            <w:tcW w:type="dxa" w:w="38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Survivors may need support before an emergency or formal report</w:t>
            </w:r>
          </w:p>
        </w:tc>
        <w:tc>
          <w:tcPr>
            <w:tcW w:type="dxa" w:w="55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EXIT Plan provides private, needs-first safety and independence planning</w:t>
            </w:r>
          </w:p>
        </w:tc>
      </w:tr>
      <w:tr>
        <w:trPr>
          <w:cantSplit/>
        </w:trPr>
        <w:tc>
          <w:tcPr>
            <w:tcW w:type="dxa" w:w="38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Digital abuse may create evidence loss, account compromise, or unsafe documentation</w:t>
            </w:r>
          </w:p>
        </w:tc>
        <w:tc>
          <w:tcPr>
            <w:tcW w:type="dxa" w:w="55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AegisVault provides optional, survivor-controlled evidence continuity</w:t>
            </w:r>
          </w:p>
        </w:tc>
      </w:tr>
      <w:tr>
        <w:trPr>
          <w:cantSplit/>
        </w:trPr>
        <w:tc>
          <w:tcPr>
            <w:tcW w:type="dxa" w:w="38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Support services are fragmented</w:t>
            </w:r>
          </w:p>
        </w:tc>
        <w:tc>
          <w:tcPr>
            <w:tcW w:type="dxa" w:w="55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EXIT matches needs to verified local service pathways</w:t>
            </w:r>
          </w:p>
        </w:tc>
      </w:tr>
      <w:tr>
        <w:trPr>
          <w:cantSplit/>
        </w:trPr>
        <w:tc>
          <w:tcPr>
            <w:tcW w:type="dxa" w:w="38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Data is limited and not standardized</w:t>
            </w:r>
          </w:p>
        </w:tc>
        <w:tc>
          <w:tcPr>
            <w:tcW w:type="dxa" w:w="55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LIVEGENDER uses a controlled taxonomy and aggregate, consent-based trend signals</w:t>
            </w:r>
          </w:p>
        </w:tc>
      </w:tr>
      <w:tr>
        <w:trPr>
          <w:cantSplit/>
        </w:trPr>
        <w:tc>
          <w:tcPr>
            <w:tcW w:type="dxa" w:w="38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Data collection can create privacy and re-identification risk</w:t>
            </w:r>
          </w:p>
        </w:tc>
        <w:tc>
          <w:tcPr>
            <w:tcW w:type="dxa" w:w="55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Consent-first data minimization, separate databases, suppression thresholds, and restricted access</w:t>
            </w:r>
          </w:p>
        </w:tc>
      </w:tr>
      <w:tr>
        <w:trPr>
          <w:cantSplit/>
        </w:trPr>
        <w:tc>
          <w:tcPr>
            <w:tcW w:type="dxa" w:w="38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Digital harm can spill into physical, financial, psychological, or social harm</w:t>
            </w:r>
          </w:p>
        </w:tc>
        <w:tc>
          <w:tcPr>
            <w:tcW w:type="dxa" w:w="55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EXIT combines safety, housing, finance, documents, dependents, legal, health, counselling, and digital-security planning</w:t>
            </w:r>
          </w:p>
        </w:tc>
      </w:tr>
    </w:tbl>
    <w:p>
      <w:r>
        <w:br w:type="page"/>
      </w:r>
    </w:p>
    <w:p>
      <w:pPr>
        <w:spacing w:after="260" w:before="0"/>
      </w:pPr>
      <w:r>
        <w:rPr>
          <w:rFonts w:ascii="Cambria" w:cs="Cambria" w:eastAsia="Cambria" w:hAnsi="Cambria"/>
          <w:b/>
          <w:bCs/>
          <w:color w:val="7A2E2E"/>
          <w:sz w:val="34"/>
          <w:szCs w:val="34"/>
        </w:rPr>
        <w:t xml:space="preserve">SDG 5: Gender Equality</w:t>
      </w:r>
    </w:p>
    <w:p>
      <w:pPr>
        <w:pBdr>
          <w:bottom w:val="single" w:color="C9C2B4" w:sz="4" w:space="1"/>
        </w:pBdr>
        <w:spacing w:after="200" w:before="200"/>
      </w:pPr>
      <w:r>
        <w:rPr>
          <w:sz w:val="2"/>
          <w:szCs w:val="2"/>
        </w:rPr>
        <w:t xml:space="preserve"/>
      </w:r>
    </w:p>
    <w:p>
      <w:pPr>
        <w:pStyle w:val="Heading1"/>
        <w:pBdr>
          <w:bottom w:val="single" w:color="7A2E2E" w:sz="10" w:space="8"/>
        </w:pBdr>
        <w:spacing w:after="200" w:before="520"/>
      </w:pPr>
      <w:r>
        <w:rPr>
          <w:rFonts w:ascii="Cambria" w:cs="Cambria" w:eastAsia="Cambria" w:hAnsi="Cambria"/>
          <w:b/>
          <w:bCs/>
          <w:color w:val="6E6A63"/>
          <w:sz w:val="26"/>
          <w:szCs w:val="26"/>
        </w:rPr>
        <w:t xml:space="preserve">2  </w:t>
      </w:r>
      <w:r>
        <w:rPr>
          <w:rFonts w:ascii="Cambria" w:cs="Cambria" w:eastAsia="Cambria" w:hAnsi="Cambria"/>
          <w:b/>
          <w:bCs/>
          <w:color w:val="24211C"/>
          <w:spacing w:val="6"/>
          <w:sz w:val="30"/>
          <w:szCs w:val="30"/>
        </w:rPr>
        <w:t xml:space="preserve">SDG 5 Alignment</w:t>
      </w:r>
    </w:p>
    <w:p>
      <w:pPr>
        <w:spacing w:after="160" w:line="300"/>
        <w:jc w:val="left"/>
      </w:pPr>
      <w:r>
        <w:rPr>
          <w:rFonts w:ascii="Garamond" w:cs="Garamond" w:eastAsia="Garamond" w:hAnsi="Garamond"/>
          <w:color w:val="24211C"/>
          <w:sz w:val="22"/>
          <w:szCs w:val="22"/>
        </w:rPr>
        <w:t xml:space="preserve">The official SDG 5 goal is to achieve gender equality and empower all women and girls. EXIT most directly supports Targets 5.1, 5.2, 5.a, 5.b, and 5.c.</w:t>
      </w:r>
    </w:p>
    <w:tbl>
      <w:tblPr>
        <w:tblW w:type="dxa" w:w="9350"/>
        <w:tblBorders>
          <w:top w:val="single" w:color="C9C2B4" w:sz="4"/>
          <w:left w:val="single" w:color="C9C2B4" w:sz="4"/>
          <w:bottom w:val="single" w:color="C9C2B4" w:sz="4"/>
          <w:right w:val="single" w:color="C9C2B4" w:sz="4"/>
          <w:insideH w:val="single" w:color="C9C2B4" w:sz="4"/>
          <w:insideV w:val="single" w:color="C9C2B4" w:sz="4"/>
        </w:tblBorders>
      </w:tblPr>
      <w:tblGrid>
        <w:gridCol w:w="1150"/>
        <w:gridCol w:w="2600"/>
        <w:gridCol w:w="2800"/>
        <w:gridCol w:w="2800"/>
      </w:tblGrid>
      <w:tr>
        <w:trPr>
          <w:cantSplit/>
          <w:tblHeader/>
        </w:trPr>
        <w:tc>
          <w:tcPr>
            <w:tcW w:type="dxa" w:w="115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SDG 5 target</w:t>
            </w:r>
          </w:p>
        </w:tc>
        <w:tc>
          <w:tcPr>
            <w:tcW w:type="dxa" w:w="26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Official intent</w:t>
            </w:r>
          </w:p>
        </w:tc>
        <w:tc>
          <w:tcPr>
            <w:tcW w:type="dxa" w:w="28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EXIT alignment</w:t>
            </w:r>
          </w:p>
        </w:tc>
        <w:tc>
          <w:tcPr>
            <w:tcW w:type="dxa" w:w="28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Feature proof</w:t>
            </w:r>
          </w:p>
        </w:tc>
      </w:tr>
      <w:tr>
        <w:trPr>
          <w:cantSplit/>
        </w:trPr>
        <w:tc>
          <w:tcPr>
            <w:tcW w:type="dxa" w:w="11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5.1</w:t>
            </w:r>
          </w:p>
        </w:tc>
        <w:tc>
          <w:tcPr>
            <w:tcW w:type="dxa" w:w="26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End all forms of discrimination against women and girls</w:t>
            </w:r>
          </w:p>
        </w:tc>
        <w:tc>
          <w:tcPr>
            <w:tcW w:type="dxa" w:w="28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Makes support pathways easier to access for women facing digital, economic, social, or disability-related barriers</w:t>
            </w:r>
          </w:p>
        </w:tc>
        <w:tc>
          <w:tcPr>
            <w:tcW w:type="dxa" w:w="28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Low-data, language, accessibility, and financial-support routing</w:t>
            </w:r>
          </w:p>
        </w:tc>
      </w:tr>
      <w:tr>
        <w:trPr>
          <w:cantSplit/>
        </w:trPr>
        <w:tc>
          <w:tcPr>
            <w:tcW w:type="dxa" w:w="11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5.2</w:t>
            </w:r>
          </w:p>
        </w:tc>
        <w:tc>
          <w:tcPr>
            <w:tcW w:type="dxa" w:w="26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Eliminate all forms of violence against women and girls in public and private spheres</w:t>
            </w:r>
          </w:p>
        </w:tc>
        <w:tc>
          <w:tcPr>
            <w:tcW w:type="dxa" w:w="28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Directly supports women facing domestic, coercive, online, sexual, psychological, or economic abuse</w:t>
            </w:r>
          </w:p>
        </w:tc>
        <w:tc>
          <w:tcPr>
            <w:tcW w:type="dxa" w:w="28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EXIT Plan, AegisVault, verified support routing</w:t>
            </w:r>
          </w:p>
        </w:tc>
      </w:tr>
      <w:tr>
        <w:trPr>
          <w:cantSplit/>
        </w:trPr>
        <w:tc>
          <w:tcPr>
            <w:tcW w:type="dxa" w:w="11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5.a</w:t>
            </w:r>
          </w:p>
        </w:tc>
        <w:tc>
          <w:tcPr>
            <w:tcW w:type="dxa" w:w="26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Equal rights to economic resources and financial services</w:t>
            </w:r>
          </w:p>
        </w:tc>
        <w:tc>
          <w:tcPr>
            <w:tcW w:type="dxa" w:w="28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Helps identify barriers to independent money, documents, employment, benefits, and legal support</w:t>
            </w:r>
          </w:p>
        </w:tc>
        <w:tc>
          <w:tcPr>
            <w:tcW w:type="dxa" w:w="28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Financial-readiness and independence section</w:t>
            </w:r>
          </w:p>
        </w:tc>
      </w:tr>
      <w:tr>
        <w:trPr>
          <w:cantSplit/>
        </w:trPr>
        <w:tc>
          <w:tcPr>
            <w:tcW w:type="dxa" w:w="11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5.b</w:t>
            </w:r>
          </w:p>
        </w:tc>
        <w:tc>
          <w:tcPr>
            <w:tcW w:type="dxa" w:w="26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Use enabling technology to promote women's empowerment</w:t>
            </w:r>
          </w:p>
        </w:tc>
        <w:tc>
          <w:tcPr>
            <w:tcW w:type="dxa" w:w="28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Uses privacy-first ICT as a tool for agency — not surveillance</w:t>
            </w:r>
          </w:p>
        </w:tc>
        <w:tc>
          <w:tcPr>
            <w:tcW w:type="dxa" w:w="28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Mobile-first planning, safe communication preferences, optional evidence control</w:t>
            </w:r>
          </w:p>
        </w:tc>
      </w:tr>
      <w:tr>
        <w:trPr>
          <w:cantSplit/>
        </w:trPr>
        <w:tc>
          <w:tcPr>
            <w:tcW w:type="dxa" w:w="11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5.c</w:t>
            </w:r>
          </w:p>
        </w:tc>
        <w:tc>
          <w:tcPr>
            <w:tcW w:type="dxa" w:w="26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Strengthen policies and enforceable legislation for equality and empowerment</w:t>
            </w:r>
          </w:p>
        </w:tc>
        <w:tc>
          <w:tcPr>
            <w:tcW w:type="dxa" w:w="28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Gives verified institutions privacy-safe evidence of service demand and access gaps</w:t>
            </w:r>
          </w:p>
        </w:tc>
        <w:tc>
          <w:tcPr>
            <w:tcW w:type="dxa" w:w="28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LIVEGENDER restricted observatory and directory governance</w:t>
            </w:r>
          </w:p>
        </w:tc>
      </w:tr>
    </w:tbl>
    <w:p>
      <w:pPr>
        <w:pStyle w:val="Heading2"/>
        <w:spacing w:after="140" w:before="340"/>
      </w:pPr>
      <w:r>
        <w:rPr>
          <w:rFonts w:ascii="Cambria" w:cs="Cambria" w:eastAsia="Cambria" w:hAnsi="Cambria"/>
          <w:b/>
          <w:bCs/>
          <w:color w:val="7A2E2E"/>
          <w:sz w:val="24"/>
          <w:szCs w:val="24"/>
        </w:rPr>
        <w:t xml:space="preserve">SDG 5.2 — your central SDG claim</w:t>
      </w:r>
    </w:p>
    <w:p>
      <w:pPr>
        <w:spacing w:after="160" w:line="300"/>
        <w:jc w:val="left"/>
      </w:pPr>
      <w:r>
        <w:rPr>
          <w:rFonts w:ascii="Garamond" w:cs="Garamond" w:eastAsia="Garamond" w:hAnsi="Garamond"/>
          <w:color w:val="24211C"/>
          <w:sz w:val="22"/>
          <w:szCs w:val="22"/>
        </w:rPr>
        <w:t xml:space="preserve">Target 5.2 explicitly calls for eliminating violence against women and girls in public and private spheres. EXIT responds to the practical reality that many women cannot safely or immediately report, leave, disclose, or call emergency services.</w:t>
      </w:r>
    </w:p>
    <w:p>
      <w:pPr>
        <w:spacing w:after="160" w:line="300"/>
        <w:jc w:val="left"/>
      </w:pPr>
      <w:r>
        <w:rPr>
          <w:rFonts w:ascii="Garamond" w:cs="Garamond" w:eastAsia="Garamond" w:hAnsi="Garamond"/>
          <w:b/>
          <w:bCs/>
          <w:sz w:val="22"/>
          <w:szCs w:val="22"/>
        </w:rPr>
        <w:t xml:space="preserve">EXIT Plan</w:t>
      </w:r>
      <w:r>
        <w:rPr>
          <w:rFonts w:ascii="Garamond" w:cs="Garamond" w:eastAsia="Garamond" w:hAnsi="Garamond"/>
          <w:sz w:val="22"/>
          <w:szCs w:val="22"/>
        </w:rPr>
        <w:t xml:space="preserve"> helps a user privately prepare for:</w:t>
      </w:r>
    </w:p>
    <w:p>
      <w:pPr>
        <w:pStyle w:val="ListParagraph"/>
        <w:numPr>
          <w:ilvl w:val="0"/>
          <w:numId w:val="2"/>
        </w:numPr>
        <w:spacing w:after="90"/>
      </w:pPr>
      <w:r>
        <w:rPr>
          <w:rFonts w:ascii="Garamond" w:cs="Garamond" w:eastAsia="Garamond" w:hAnsi="Garamond"/>
          <w:color w:val="24211C"/>
          <w:sz w:val="22"/>
          <w:szCs w:val="22"/>
        </w:rPr>
        <w:t xml:space="preserve">Safety</w:t>
      </w:r>
    </w:p>
    <w:p>
      <w:pPr>
        <w:pStyle w:val="ListParagraph"/>
        <w:numPr>
          <w:ilvl w:val="0"/>
          <w:numId w:val="2"/>
        </w:numPr>
        <w:spacing w:after="90"/>
      </w:pPr>
      <w:r>
        <w:rPr>
          <w:rFonts w:ascii="Garamond" w:cs="Garamond" w:eastAsia="Garamond" w:hAnsi="Garamond"/>
          <w:color w:val="24211C"/>
          <w:sz w:val="22"/>
          <w:szCs w:val="22"/>
        </w:rPr>
        <w:t xml:space="preserve">Temporary accommodation</w:t>
      </w:r>
    </w:p>
    <w:p>
      <w:pPr>
        <w:pStyle w:val="ListParagraph"/>
        <w:numPr>
          <w:ilvl w:val="0"/>
          <w:numId w:val="2"/>
        </w:numPr>
        <w:spacing w:after="90"/>
      </w:pPr>
      <w:r>
        <w:rPr>
          <w:rFonts w:ascii="Garamond" w:cs="Garamond" w:eastAsia="Garamond" w:hAnsi="Garamond"/>
          <w:color w:val="24211C"/>
          <w:sz w:val="22"/>
          <w:szCs w:val="22"/>
        </w:rPr>
        <w:t xml:space="preserve">Documents</w:t>
      </w:r>
    </w:p>
    <w:p>
      <w:pPr>
        <w:pStyle w:val="ListParagraph"/>
        <w:numPr>
          <w:ilvl w:val="0"/>
          <w:numId w:val="2"/>
        </w:numPr>
        <w:spacing w:after="90"/>
      </w:pPr>
      <w:r>
        <w:rPr>
          <w:rFonts w:ascii="Garamond" w:cs="Garamond" w:eastAsia="Garamond" w:hAnsi="Garamond"/>
          <w:color w:val="24211C"/>
          <w:sz w:val="22"/>
          <w:szCs w:val="22"/>
        </w:rPr>
        <w:t xml:space="preserve">Financial access</w:t>
      </w:r>
    </w:p>
    <w:p>
      <w:pPr>
        <w:pStyle w:val="ListParagraph"/>
        <w:numPr>
          <w:ilvl w:val="0"/>
          <w:numId w:val="2"/>
        </w:numPr>
        <w:spacing w:after="90"/>
      </w:pPr>
      <w:r>
        <w:rPr>
          <w:rFonts w:ascii="Garamond" w:cs="Garamond" w:eastAsia="Garamond" w:hAnsi="Garamond"/>
          <w:color w:val="24211C"/>
          <w:sz w:val="22"/>
          <w:szCs w:val="22"/>
        </w:rPr>
        <w:t xml:space="preserve">Transport</w:t>
      </w:r>
    </w:p>
    <w:p>
      <w:pPr>
        <w:pStyle w:val="ListParagraph"/>
        <w:numPr>
          <w:ilvl w:val="0"/>
          <w:numId w:val="2"/>
        </w:numPr>
        <w:spacing w:after="90"/>
      </w:pPr>
      <w:r>
        <w:rPr>
          <w:rFonts w:ascii="Garamond" w:cs="Garamond" w:eastAsia="Garamond" w:hAnsi="Garamond"/>
          <w:color w:val="24211C"/>
          <w:sz w:val="22"/>
          <w:szCs w:val="22"/>
        </w:rPr>
        <w:t xml:space="preserve">Dependents</w:t>
      </w:r>
    </w:p>
    <w:p>
      <w:pPr>
        <w:pStyle w:val="ListParagraph"/>
        <w:numPr>
          <w:ilvl w:val="0"/>
          <w:numId w:val="2"/>
        </w:numPr>
        <w:spacing w:after="90"/>
      </w:pPr>
      <w:r>
        <w:rPr>
          <w:rFonts w:ascii="Garamond" w:cs="Garamond" w:eastAsia="Garamond" w:hAnsi="Garamond"/>
          <w:color w:val="24211C"/>
          <w:sz w:val="22"/>
          <w:szCs w:val="22"/>
        </w:rPr>
        <w:t xml:space="preserve">Medical or counselling support</w:t>
      </w:r>
    </w:p>
    <w:p>
      <w:pPr>
        <w:pStyle w:val="ListParagraph"/>
        <w:numPr>
          <w:ilvl w:val="0"/>
          <w:numId w:val="2"/>
        </w:numPr>
        <w:spacing w:after="90"/>
      </w:pPr>
      <w:r>
        <w:rPr>
          <w:rFonts w:ascii="Garamond" w:cs="Garamond" w:eastAsia="Garamond" w:hAnsi="Garamond"/>
          <w:color w:val="24211C"/>
          <w:sz w:val="22"/>
          <w:szCs w:val="22"/>
        </w:rPr>
        <w:t xml:space="preserve">Legal information</w:t>
      </w:r>
    </w:p>
    <w:p>
      <w:pPr>
        <w:pStyle w:val="ListParagraph"/>
        <w:numPr>
          <w:ilvl w:val="0"/>
          <w:numId w:val="2"/>
        </w:numPr>
        <w:spacing w:after="90"/>
      </w:pPr>
      <w:r>
        <w:rPr>
          <w:rFonts w:ascii="Garamond" w:cs="Garamond" w:eastAsia="Garamond" w:hAnsi="Garamond"/>
          <w:color w:val="24211C"/>
          <w:sz w:val="22"/>
          <w:szCs w:val="22"/>
        </w:rPr>
        <w:t xml:space="preserve">Digital security</w:t>
      </w:r>
    </w:p>
    <w:p>
      <w:pPr>
        <w:pStyle w:val="ListParagraph"/>
        <w:numPr>
          <w:ilvl w:val="0"/>
          <w:numId w:val="2"/>
        </w:numPr>
        <w:spacing w:after="90"/>
      </w:pPr>
      <w:r>
        <w:rPr>
          <w:rFonts w:ascii="Garamond" w:cs="Garamond" w:eastAsia="Garamond" w:hAnsi="Garamond"/>
          <w:color w:val="24211C"/>
          <w:sz w:val="22"/>
          <w:szCs w:val="22"/>
        </w:rPr>
        <w:t xml:space="preserve">Trusted contacts</w:t>
      </w:r>
    </w:p>
    <w:p>
      <w:pPr>
        <w:spacing w:after="160" w:line="300"/>
        <w:jc w:val="left"/>
      </w:pPr>
      <w:r>
        <w:rPr>
          <w:rFonts w:ascii="Garamond" w:cs="Garamond" w:eastAsia="Garamond" w:hAnsi="Garamond"/>
          <w:b/>
          <w:bCs/>
          <w:sz w:val="22"/>
          <w:szCs w:val="22"/>
        </w:rPr>
        <w:t xml:space="preserve">AegisVault</w:t>
      </w:r>
      <w:r>
        <w:rPr>
          <w:rFonts w:ascii="Garamond" w:cs="Garamond" w:eastAsia="Garamond" w:hAnsi="Garamond"/>
          <w:sz w:val="22"/>
          <w:szCs w:val="22"/>
        </w:rPr>
        <w:t xml:space="preserve"> supports the digital forms of abuse that can intensify or enable violence, without forcing a survivor to store evidence or make a report.</w:t>
      </w:r>
    </w:p>
    <w:p>
      <w:pPr>
        <w:spacing w:after="160" w:line="300"/>
        <w:jc w:val="left"/>
      </w:pPr>
      <w:r>
        <w:rPr>
          <w:rFonts w:ascii="Garamond" w:cs="Garamond" w:eastAsia="Garamond" w:hAnsi="Garamond"/>
          <w:b/>
          <w:bCs/>
          <w:sz w:val="22"/>
          <w:szCs w:val="22"/>
        </w:rPr>
        <w:t xml:space="preserve">LIVEGENDER</w:t>
      </w:r>
      <w:r>
        <w:rPr>
          <w:rFonts w:ascii="Garamond" w:cs="Garamond" w:eastAsia="Garamond" w:hAnsi="Garamond"/>
          <w:sz w:val="22"/>
          <w:szCs w:val="22"/>
        </w:rPr>
        <w:t xml:space="preserve"> helps service institutions identify changing aggregate demand for cyber-support, legal aid, counselling, and other resources.</w:t>
      </w:r>
    </w:p>
    <w:p>
      <w:pPr>
        <w:pStyle w:val="Heading2"/>
        <w:spacing w:after="140" w:before="340"/>
      </w:pPr>
      <w:r>
        <w:rPr>
          <w:rFonts w:ascii="Cambria" w:cs="Cambria" w:eastAsia="Cambria" w:hAnsi="Cambria"/>
          <w:b/>
          <w:bCs/>
          <w:color w:val="7A2E2E"/>
          <w:sz w:val="24"/>
          <w:szCs w:val="24"/>
        </w:rPr>
        <w:t xml:space="preserve">SDG 5 impact indicators</w:t>
      </w:r>
    </w:p>
    <w:p>
      <w:pPr>
        <w:spacing w:after="160" w:line="300"/>
        <w:jc w:val="left"/>
      </w:pPr>
      <w:r>
        <w:rPr>
          <w:rFonts w:ascii="Garamond" w:cs="Garamond" w:eastAsia="Garamond" w:hAnsi="Garamond"/>
          <w:color w:val="24211C"/>
          <w:sz w:val="22"/>
          <w:szCs w:val="22"/>
        </w:rPr>
        <w:t xml:space="preserve">These are prototype/product indicators — not official UN prevalence indicators:</w:t>
      </w:r>
    </w:p>
    <w:p>
      <w:pPr>
        <w:pStyle w:val="ListParagraph"/>
        <w:numPr>
          <w:ilvl w:val="0"/>
          <w:numId w:val="2"/>
        </w:numPr>
        <w:spacing w:after="90"/>
      </w:pPr>
      <w:r>
        <w:rPr>
          <w:rFonts w:ascii="Garamond" w:cs="Garamond" w:eastAsia="Garamond" w:hAnsi="Garamond"/>
          <w:color w:val="24211C"/>
          <w:sz w:val="22"/>
          <w:szCs w:val="22"/>
        </w:rPr>
        <w:t xml:space="preserve">Number of users who create a private safety / independence plan</w:t>
      </w:r>
    </w:p>
    <w:p>
      <w:pPr>
        <w:pStyle w:val="ListParagraph"/>
        <w:numPr>
          <w:ilvl w:val="0"/>
          <w:numId w:val="2"/>
        </w:numPr>
        <w:spacing w:after="90"/>
      </w:pPr>
      <w:r>
        <w:rPr>
          <w:rFonts w:ascii="Garamond" w:cs="Garamond" w:eastAsia="Garamond" w:hAnsi="Garamond"/>
          <w:color w:val="24211C"/>
          <w:sz w:val="22"/>
          <w:szCs w:val="22"/>
        </w:rPr>
        <w:t xml:space="preserve">Number of users selecting a verified service pathway</w:t>
      </w:r>
    </w:p>
    <w:p>
      <w:pPr>
        <w:pStyle w:val="ListParagraph"/>
        <w:numPr>
          <w:ilvl w:val="0"/>
          <w:numId w:val="2"/>
        </w:numPr>
        <w:spacing w:after="90"/>
      </w:pPr>
      <w:r>
        <w:rPr>
          <w:rFonts w:ascii="Garamond" w:cs="Garamond" w:eastAsia="Garamond" w:hAnsi="Garamond"/>
          <w:color w:val="24211C"/>
          <w:sz w:val="22"/>
          <w:szCs w:val="22"/>
        </w:rPr>
        <w:t xml:space="preserve">Percentage of plans using a low-data, language, or accessibility mode</w:t>
      </w:r>
    </w:p>
    <w:p>
      <w:pPr>
        <w:pStyle w:val="ListParagraph"/>
        <w:numPr>
          <w:ilvl w:val="0"/>
          <w:numId w:val="2"/>
        </w:numPr>
        <w:spacing w:after="90"/>
      </w:pPr>
      <w:r>
        <w:rPr>
          <w:rFonts w:ascii="Garamond" w:cs="Garamond" w:eastAsia="Garamond" w:hAnsi="Garamond"/>
          <w:color w:val="24211C"/>
          <w:sz w:val="22"/>
          <w:szCs w:val="22"/>
        </w:rPr>
        <w:t xml:space="preserve">Number of user-selected financial-independence readiness steps</w:t>
      </w:r>
    </w:p>
    <w:p>
      <w:pPr>
        <w:pStyle w:val="ListParagraph"/>
        <w:numPr>
          <w:ilvl w:val="0"/>
          <w:numId w:val="2"/>
        </w:numPr>
        <w:spacing w:after="90"/>
      </w:pPr>
      <w:r>
        <w:rPr>
          <w:rFonts w:ascii="Garamond" w:cs="Garamond" w:eastAsia="Garamond" w:hAnsi="Garamond"/>
          <w:color w:val="24211C"/>
          <w:sz w:val="22"/>
          <w:szCs w:val="22"/>
        </w:rPr>
        <w:t xml:space="preserve">Number of optional, consent-approved AegisVault exports</w:t>
      </w:r>
    </w:p>
    <w:p>
      <w:pPr>
        <w:pStyle w:val="ListParagraph"/>
        <w:numPr>
          <w:ilvl w:val="0"/>
          <w:numId w:val="2"/>
        </w:numPr>
        <w:spacing w:after="90"/>
      </w:pPr>
      <w:r>
        <w:rPr>
          <w:rFonts w:ascii="Garamond" w:cs="Garamond" w:eastAsia="Garamond" w:hAnsi="Garamond"/>
          <w:color w:val="24211C"/>
          <w:sz w:val="22"/>
          <w:szCs w:val="22"/>
        </w:rPr>
        <w:t xml:space="preserve">Number of aggregate service-demand trends safely generated</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Do not claim that these indicators prove a reduction in gender-based violence. They show access, readiness, and system-response capability.</w:t>
      </w:r>
    </w:p>
    <w:p>
      <w:r>
        <w:br w:type="page"/>
      </w:r>
    </w:p>
    <w:p>
      <w:pPr>
        <w:spacing w:after="260" w:before="0"/>
      </w:pPr>
      <w:r>
        <w:rPr>
          <w:rFonts w:ascii="Cambria" w:cs="Cambria" w:eastAsia="Cambria" w:hAnsi="Cambria"/>
          <w:b/>
          <w:bCs/>
          <w:color w:val="7A2E2E"/>
          <w:sz w:val="34"/>
          <w:szCs w:val="34"/>
        </w:rPr>
        <w:t xml:space="preserve">SDG 10: Reduced Inequalities</w:t>
      </w:r>
    </w:p>
    <w:p>
      <w:pPr>
        <w:pBdr>
          <w:bottom w:val="single" w:color="C9C2B4" w:sz="4" w:space="1"/>
        </w:pBdr>
        <w:spacing w:after="200" w:before="200"/>
      </w:pPr>
      <w:r>
        <w:rPr>
          <w:sz w:val="2"/>
          <w:szCs w:val="2"/>
        </w:rPr>
        <w:t xml:space="preserve"/>
      </w:r>
    </w:p>
    <w:p>
      <w:pPr>
        <w:pStyle w:val="Heading1"/>
        <w:pBdr>
          <w:bottom w:val="single" w:color="7A2E2E" w:sz="10" w:space="8"/>
        </w:pBdr>
        <w:spacing w:after="200" w:before="520"/>
      </w:pPr>
      <w:r>
        <w:rPr>
          <w:rFonts w:ascii="Cambria" w:cs="Cambria" w:eastAsia="Cambria" w:hAnsi="Cambria"/>
          <w:b/>
          <w:bCs/>
          <w:color w:val="6E6A63"/>
          <w:sz w:val="26"/>
          <w:szCs w:val="26"/>
        </w:rPr>
        <w:t xml:space="preserve">3  </w:t>
      </w:r>
      <w:r>
        <w:rPr>
          <w:rFonts w:ascii="Cambria" w:cs="Cambria" w:eastAsia="Cambria" w:hAnsi="Cambria"/>
          <w:b/>
          <w:bCs/>
          <w:color w:val="24211C"/>
          <w:spacing w:val="6"/>
          <w:sz w:val="30"/>
          <w:szCs w:val="30"/>
        </w:rPr>
        <w:t xml:space="preserve">SDG 10 Alignment</w:t>
      </w:r>
    </w:p>
    <w:p>
      <w:pPr>
        <w:spacing w:after="160" w:line="300"/>
        <w:jc w:val="left"/>
      </w:pPr>
      <w:r>
        <w:rPr>
          <w:rFonts w:ascii="Garamond" w:cs="Garamond" w:eastAsia="Garamond" w:hAnsi="Garamond"/>
          <w:color w:val="24211C"/>
          <w:sz w:val="22"/>
          <w:szCs w:val="22"/>
        </w:rPr>
        <w:t xml:space="preserve">The project's SDG 10 contribution is ensuring that access to safety planning, support information, and justice pathways is not limited by income, language, disability, literacy, location, device type, or internet quality.</w:t>
      </w:r>
    </w:p>
    <w:p>
      <w:pPr>
        <w:pStyle w:val="Heading2"/>
        <w:spacing w:after="140" w:before="340"/>
      </w:pPr>
      <w:r>
        <w:rPr>
          <w:rFonts w:ascii="Cambria" w:cs="Cambria" w:eastAsia="Cambria" w:hAnsi="Cambria"/>
          <w:b/>
          <w:bCs/>
          <w:color w:val="7A2E2E"/>
          <w:sz w:val="24"/>
          <w:szCs w:val="24"/>
        </w:rPr>
        <w:t xml:space="preserve">EXIT's inequality barriers</w:t>
      </w:r>
    </w:p>
    <w:tbl>
      <w:tblPr>
        <w:tblW w:type="dxa" w:w="9350"/>
        <w:tblBorders>
          <w:top w:val="single" w:color="C9C2B4" w:sz="4"/>
          <w:left w:val="single" w:color="C9C2B4" w:sz="4"/>
          <w:bottom w:val="single" w:color="C9C2B4" w:sz="4"/>
          <w:right w:val="single" w:color="C9C2B4" w:sz="4"/>
          <w:insideH w:val="single" w:color="C9C2B4" w:sz="4"/>
          <w:insideV w:val="single" w:color="C9C2B4" w:sz="4"/>
        </w:tblBorders>
      </w:tblPr>
      <w:tblGrid>
        <w:gridCol w:w="3000"/>
        <w:gridCol w:w="6350"/>
      </w:tblGrid>
      <w:tr>
        <w:trPr>
          <w:cantSplit/>
          <w:tblHeader/>
        </w:trPr>
        <w:tc>
          <w:tcPr>
            <w:tcW w:type="dxa" w:w="30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Barrier</w:t>
            </w:r>
          </w:p>
        </w:tc>
        <w:tc>
          <w:tcPr>
            <w:tcW w:type="dxa" w:w="635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How EXIT reduces it</w:t>
            </w:r>
          </w:p>
        </w:tc>
      </w:tr>
      <w:tr>
        <w:trPr>
          <w:cantSplit/>
        </w:trPr>
        <w:tc>
          <w:tcPr>
            <w:tcW w:type="dxa" w:w="30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Low income</w:t>
            </w:r>
          </w:p>
        </w:tc>
        <w:tc>
          <w:tcPr>
            <w:tcW w:type="dxa" w:w="63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Routes users to free legal aid, public services, verified NGO support, and low-cost resources where available</w:t>
            </w:r>
          </w:p>
        </w:tc>
      </w:tr>
      <w:tr>
        <w:trPr>
          <w:cantSplit/>
        </w:trPr>
        <w:tc>
          <w:tcPr>
            <w:tcW w:type="dxa" w:w="30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Low connectivity</w:t>
            </w:r>
          </w:p>
        </w:tc>
        <w:tc>
          <w:tcPr>
            <w:tcW w:type="dxa" w:w="63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Progressive web app, low-data mode, offline-safe guidance cache</w:t>
            </w:r>
          </w:p>
        </w:tc>
      </w:tr>
      <w:tr>
        <w:trPr>
          <w:cantSplit/>
        </w:trPr>
        <w:tc>
          <w:tcPr>
            <w:tcW w:type="dxa" w:w="30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Low literacy</w:t>
            </w:r>
          </w:p>
        </w:tc>
        <w:tc>
          <w:tcPr>
            <w:tcW w:type="dxa" w:w="63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Icon-led flow, plain language, voice-guided option</w:t>
            </w:r>
          </w:p>
        </w:tc>
      </w:tr>
      <w:tr>
        <w:trPr>
          <w:cantSplit/>
        </w:trPr>
        <w:tc>
          <w:tcPr>
            <w:tcW w:type="dxa" w:w="30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Language</w:t>
            </w:r>
          </w:p>
        </w:tc>
        <w:tc>
          <w:tcPr>
            <w:tcW w:type="dxa" w:w="63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Local language and script support</w:t>
            </w:r>
          </w:p>
        </w:tc>
      </w:tr>
      <w:tr>
        <w:trPr>
          <w:cantSplit/>
        </w:trPr>
        <w:tc>
          <w:tcPr>
            <w:tcW w:type="dxa" w:w="30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Disability</w:t>
            </w:r>
          </w:p>
        </w:tc>
        <w:tc>
          <w:tcPr>
            <w:tcW w:type="dxa" w:w="63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Screen-reader support, high-contrast interface, large-text mode, keyboard navigation</w:t>
            </w:r>
          </w:p>
        </w:tc>
      </w:tr>
      <w:tr>
        <w:trPr>
          <w:cantSplit/>
        </w:trPr>
        <w:tc>
          <w:tcPr>
            <w:tcW w:type="dxa" w:w="30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Rural or remote location</w:t>
            </w:r>
          </w:p>
        </w:tc>
        <w:tc>
          <w:tcPr>
            <w:tcW w:type="dxa" w:w="63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Broad service routing, phone / online support alternatives, travel / transport planning prompts</w:t>
            </w:r>
          </w:p>
        </w:tc>
      </w:tr>
      <w:tr>
        <w:trPr>
          <w:cantSplit/>
        </w:trPr>
        <w:tc>
          <w:tcPr>
            <w:tcW w:type="dxa" w:w="30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Limited documentation</w:t>
            </w:r>
          </w:p>
        </w:tc>
        <w:tc>
          <w:tcPr>
            <w:tcW w:type="dxa" w:w="63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Document-access checklist and legal / identity-support pathways</w:t>
            </w:r>
          </w:p>
        </w:tc>
      </w:tr>
      <w:tr>
        <w:trPr>
          <w:cantSplit/>
        </w:trPr>
        <w:tc>
          <w:tcPr>
            <w:tcW w:type="dxa" w:w="30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Economic dependence</w:t>
            </w:r>
          </w:p>
        </w:tc>
        <w:tc>
          <w:tcPr>
            <w:tcW w:type="dxa" w:w="63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Financial-readiness checklist, income / employment / benefit support pathways</w:t>
            </w:r>
          </w:p>
        </w:tc>
      </w:tr>
      <w:tr>
        <w:trPr>
          <w:cantSplit/>
        </w:trPr>
        <w:tc>
          <w:tcPr>
            <w:tcW w:type="dxa" w:w="30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Digital exclusion</w:t>
            </w:r>
          </w:p>
        </w:tc>
        <w:tc>
          <w:tcPr>
            <w:tcW w:type="dxa" w:w="63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No requirement to understand legal jargon, evidence methods, or complex apps</w:t>
            </w:r>
          </w:p>
        </w:tc>
      </w:tr>
      <w:tr>
        <w:trPr>
          <w:cantSplit/>
        </w:trPr>
        <w:tc>
          <w:tcPr>
            <w:tcW w:type="dxa" w:w="30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Marginalization / discrimination</w:t>
            </w:r>
          </w:p>
        </w:tc>
        <w:tc>
          <w:tcPr>
            <w:tcW w:type="dxa" w:w="63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Need-based design, not identity-based eligibility scoring; local partner review</w:t>
            </w:r>
          </w:p>
        </w:tc>
      </w:tr>
    </w:tbl>
    <w:p>
      <w:pPr>
        <w:pStyle w:val="Heading2"/>
        <w:spacing w:after="140" w:before="340"/>
      </w:pPr>
      <w:r>
        <w:rPr>
          <w:rFonts w:ascii="Cambria" w:cs="Cambria" w:eastAsia="Cambria" w:hAnsi="Cambria"/>
          <w:b/>
          <w:bCs/>
          <w:color w:val="7A2E2E"/>
          <w:sz w:val="24"/>
          <w:szCs w:val="24"/>
        </w:rPr>
        <w:t xml:space="preserve">SDG 10 design principle</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No woman should need money, legal knowledge, fluent English, a high-end phone, constant internet, or a public disclosure to begin planning for safety.</w:t>
      </w:r>
    </w:p>
    <w:p>
      <w:pPr>
        <w:pStyle w:val="Heading2"/>
        <w:spacing w:after="140" w:before="340"/>
      </w:pPr>
      <w:r>
        <w:rPr>
          <w:rFonts w:ascii="Cambria" w:cs="Cambria" w:eastAsia="Cambria" w:hAnsi="Cambria"/>
          <w:b/>
          <w:bCs/>
          <w:color w:val="7A2E2E"/>
          <w:sz w:val="24"/>
          <w:szCs w:val="24"/>
        </w:rPr>
        <w:t xml:space="preserve">SDG 10 metrics</w:t>
      </w:r>
    </w:p>
    <w:p>
      <w:pPr>
        <w:pStyle w:val="ListParagraph"/>
        <w:numPr>
          <w:ilvl w:val="0"/>
          <w:numId w:val="2"/>
        </w:numPr>
        <w:spacing w:after="90"/>
      </w:pPr>
      <w:r>
        <w:rPr>
          <w:rFonts w:ascii="Garamond" w:cs="Garamond" w:eastAsia="Garamond" w:hAnsi="Garamond"/>
          <w:color w:val="24211C"/>
          <w:sz w:val="22"/>
          <w:szCs w:val="22"/>
        </w:rPr>
        <w:t xml:space="preserve">Plan completion rate in low-data mode</w:t>
      </w:r>
    </w:p>
    <w:p>
      <w:pPr>
        <w:pStyle w:val="ListParagraph"/>
        <w:numPr>
          <w:ilvl w:val="0"/>
          <w:numId w:val="2"/>
        </w:numPr>
        <w:spacing w:after="90"/>
      </w:pPr>
      <w:r>
        <w:rPr>
          <w:rFonts w:ascii="Garamond" w:cs="Garamond" w:eastAsia="Garamond" w:hAnsi="Garamond"/>
          <w:color w:val="24211C"/>
          <w:sz w:val="22"/>
          <w:szCs w:val="22"/>
        </w:rPr>
        <w:t xml:space="preserve">Plan completion rate by language</w:t>
      </w:r>
    </w:p>
    <w:p>
      <w:pPr>
        <w:pStyle w:val="ListParagraph"/>
        <w:numPr>
          <w:ilvl w:val="0"/>
          <w:numId w:val="2"/>
        </w:numPr>
        <w:spacing w:after="90"/>
      </w:pPr>
      <w:r>
        <w:rPr>
          <w:rFonts w:ascii="Garamond" w:cs="Garamond" w:eastAsia="Garamond" w:hAnsi="Garamond"/>
          <w:color w:val="24211C"/>
          <w:sz w:val="22"/>
          <w:szCs w:val="22"/>
        </w:rPr>
        <w:t xml:space="preserve">Use of voice, simplified, large-text, or screen-reader modes</w:t>
      </w:r>
    </w:p>
    <w:p>
      <w:pPr>
        <w:pStyle w:val="ListParagraph"/>
        <w:numPr>
          <w:ilvl w:val="0"/>
          <w:numId w:val="2"/>
        </w:numPr>
        <w:spacing w:after="90"/>
      </w:pPr>
      <w:r>
        <w:rPr>
          <w:rFonts w:ascii="Garamond" w:cs="Garamond" w:eastAsia="Garamond" w:hAnsi="Garamond"/>
          <w:color w:val="24211C"/>
          <w:sz w:val="22"/>
          <w:szCs w:val="22"/>
        </w:rPr>
        <w:t xml:space="preserve">Percentage of resource pathways identifying no-cost / free support</w:t>
      </w:r>
    </w:p>
    <w:p>
      <w:pPr>
        <w:pStyle w:val="ListParagraph"/>
        <w:numPr>
          <w:ilvl w:val="0"/>
          <w:numId w:val="2"/>
        </w:numPr>
        <w:spacing w:after="90"/>
      </w:pPr>
      <w:r>
        <w:rPr>
          <w:rFonts w:ascii="Garamond" w:cs="Garamond" w:eastAsia="Garamond" w:hAnsi="Garamond"/>
          <w:color w:val="24211C"/>
          <w:sz w:val="22"/>
          <w:szCs w:val="22"/>
        </w:rPr>
        <w:t xml:space="preserve">Resource-directory coverage by rural / urban region</w:t>
      </w:r>
    </w:p>
    <w:p>
      <w:pPr>
        <w:pStyle w:val="ListParagraph"/>
        <w:numPr>
          <w:ilvl w:val="0"/>
          <w:numId w:val="2"/>
        </w:numPr>
        <w:spacing w:after="90"/>
      </w:pPr>
      <w:r>
        <w:rPr>
          <w:rFonts w:ascii="Garamond" w:cs="Garamond" w:eastAsia="Garamond" w:hAnsi="Garamond"/>
          <w:color w:val="24211C"/>
          <w:sz w:val="22"/>
          <w:szCs w:val="22"/>
        </w:rPr>
        <w:t xml:space="preserve">Percentage of users who can complete the planning flow without creating an account</w:t>
      </w:r>
    </w:p>
    <w:p>
      <w:pPr>
        <w:pStyle w:val="ListParagraph"/>
        <w:numPr>
          <w:ilvl w:val="0"/>
          <w:numId w:val="2"/>
        </w:numPr>
        <w:spacing w:after="90"/>
      </w:pPr>
      <w:r>
        <w:rPr>
          <w:rFonts w:ascii="Garamond" w:cs="Garamond" w:eastAsia="Garamond" w:hAnsi="Garamond"/>
          <w:color w:val="24211C"/>
          <w:sz w:val="22"/>
          <w:szCs w:val="22"/>
        </w:rPr>
        <w:t xml:space="preserve">Availability of at least one verified support pathway per supported region</w:t>
      </w:r>
    </w:p>
    <w:p>
      <w:pPr>
        <w:spacing w:after="160" w:line="300"/>
        <w:jc w:val="left"/>
      </w:pPr>
      <w:r>
        <w:rPr>
          <w:rFonts w:ascii="Garamond" w:cs="Garamond" w:eastAsia="Garamond" w:hAnsi="Garamond"/>
          <w:color w:val="24211C"/>
          <w:sz w:val="22"/>
          <w:szCs w:val="22"/>
        </w:rPr>
        <w:t xml:space="preserve">These metrics show accessibility and inclusion, not changes in national inequality levels.</w:t>
      </w:r>
    </w:p>
    <w:p>
      <w:r>
        <w:br w:type="page"/>
      </w:r>
    </w:p>
    <w:p>
      <w:pPr>
        <w:spacing w:after="260" w:before="0"/>
      </w:pPr>
      <w:r>
        <w:rPr>
          <w:rFonts w:ascii="Cambria" w:cs="Cambria" w:eastAsia="Cambria" w:hAnsi="Cambria"/>
          <w:b/>
          <w:bCs/>
          <w:color w:val="7A2E2E"/>
          <w:sz w:val="30"/>
          <w:szCs w:val="30"/>
        </w:rPr>
        <w:t xml:space="preserve">SDG 16: Peace, Justice and Strong Institutions</w:t>
      </w:r>
    </w:p>
    <w:p>
      <w:pPr>
        <w:pBdr>
          <w:bottom w:val="single" w:color="C9C2B4" w:sz="4" w:space="1"/>
        </w:pBdr>
        <w:spacing w:after="200" w:before="200"/>
      </w:pPr>
      <w:r>
        <w:rPr>
          <w:sz w:val="2"/>
          <w:szCs w:val="2"/>
        </w:rPr>
        <w:t xml:space="preserve"/>
      </w:r>
    </w:p>
    <w:p>
      <w:pPr>
        <w:pStyle w:val="Heading1"/>
        <w:pBdr>
          <w:bottom w:val="single" w:color="7A2E2E" w:sz="10" w:space="8"/>
        </w:pBdr>
        <w:spacing w:after="200" w:before="520"/>
      </w:pPr>
      <w:r>
        <w:rPr>
          <w:rFonts w:ascii="Cambria" w:cs="Cambria" w:eastAsia="Cambria" w:hAnsi="Cambria"/>
          <w:b/>
          <w:bCs/>
          <w:color w:val="6E6A63"/>
          <w:sz w:val="26"/>
          <w:szCs w:val="26"/>
        </w:rPr>
        <w:t xml:space="preserve">4  </w:t>
      </w:r>
      <w:r>
        <w:rPr>
          <w:rFonts w:ascii="Cambria" w:cs="Cambria" w:eastAsia="Cambria" w:hAnsi="Cambria"/>
          <w:b/>
          <w:bCs/>
          <w:color w:val="24211C"/>
          <w:spacing w:val="6"/>
          <w:sz w:val="30"/>
          <w:szCs w:val="30"/>
        </w:rPr>
        <w:t xml:space="preserve">SDG 16 Alignment</w:t>
      </w:r>
    </w:p>
    <w:p>
      <w:pPr>
        <w:spacing w:after="160" w:line="300"/>
        <w:jc w:val="left"/>
      </w:pPr>
      <w:r>
        <w:rPr>
          <w:rFonts w:ascii="Garamond" w:cs="Garamond" w:eastAsia="Garamond" w:hAnsi="Garamond"/>
          <w:color w:val="24211C"/>
          <w:sz w:val="22"/>
          <w:szCs w:val="22"/>
        </w:rPr>
        <w:t xml:space="preserve">EXIT supports Targets 16.1, 16.3, 16.6, 16.7, 16.10, and 16.b.</w:t>
      </w:r>
    </w:p>
    <w:tbl>
      <w:tblPr>
        <w:tblW w:type="dxa" w:w="9350"/>
        <w:tblBorders>
          <w:top w:val="single" w:color="C9C2B4" w:sz="4"/>
          <w:left w:val="single" w:color="C9C2B4" w:sz="4"/>
          <w:bottom w:val="single" w:color="C9C2B4" w:sz="4"/>
          <w:right w:val="single" w:color="C9C2B4" w:sz="4"/>
          <w:insideH w:val="single" w:color="C9C2B4" w:sz="4"/>
          <w:insideV w:val="single" w:color="C9C2B4" w:sz="4"/>
        </w:tblBorders>
      </w:tblPr>
      <w:tblGrid>
        <w:gridCol w:w="1500"/>
        <w:gridCol w:w="3600"/>
        <w:gridCol w:w="4250"/>
      </w:tblGrid>
      <w:tr>
        <w:trPr>
          <w:cantSplit/>
          <w:tblHeader/>
        </w:trPr>
        <w:tc>
          <w:tcPr>
            <w:tcW w:type="dxa" w:w="15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SDG 16 target</w:t>
            </w:r>
          </w:p>
        </w:tc>
        <w:tc>
          <w:tcPr>
            <w:tcW w:type="dxa" w:w="36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Official intent</w:t>
            </w:r>
          </w:p>
        </w:tc>
        <w:tc>
          <w:tcPr>
            <w:tcW w:type="dxa" w:w="425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EXIT alignment</w:t>
            </w:r>
          </w:p>
        </w:tc>
      </w:tr>
      <w:tr>
        <w:trPr>
          <w:cantSplit/>
        </w:trPr>
        <w:tc>
          <w:tcPr>
            <w:tcW w:type="dxa" w:w="15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16.1</w:t>
            </w:r>
          </w:p>
        </w:tc>
        <w:tc>
          <w:tcPr>
            <w:tcW w:type="dxa" w:w="36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Reduce all forms of violence</w:t>
            </w:r>
          </w:p>
        </w:tc>
        <w:tc>
          <w:tcPr>
            <w:tcW w:type="dxa" w:w="42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Supports earlier, safer access to prevention and response services</w:t>
            </w:r>
          </w:p>
        </w:tc>
      </w:tr>
      <w:tr>
        <w:trPr>
          <w:cantSplit/>
        </w:trPr>
        <w:tc>
          <w:tcPr>
            <w:tcW w:type="dxa" w:w="15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16.3</w:t>
            </w:r>
          </w:p>
        </w:tc>
        <w:tc>
          <w:tcPr>
            <w:tcW w:type="dxa" w:w="36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Promote rule of law and equal access to justice</w:t>
            </w:r>
          </w:p>
        </w:tc>
        <w:tc>
          <w:tcPr>
            <w:tcW w:type="dxa" w:w="42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Helps users navigate legal-aid and formal support pathways, while preserving consent</w:t>
            </w:r>
          </w:p>
        </w:tc>
      </w:tr>
      <w:tr>
        <w:trPr>
          <w:cantSplit/>
        </w:trPr>
        <w:tc>
          <w:tcPr>
            <w:tcW w:type="dxa" w:w="15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16.6</w:t>
            </w:r>
          </w:p>
        </w:tc>
        <w:tc>
          <w:tcPr>
            <w:tcW w:type="dxa" w:w="36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Develop effective, accountable, transparent institutions</w:t>
            </w:r>
          </w:p>
        </w:tc>
        <w:tc>
          <w:tcPr>
            <w:tcW w:type="dxa" w:w="42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Provides verified resources, consent logs, audit trails, and service-demand insights</w:t>
            </w:r>
          </w:p>
        </w:tc>
      </w:tr>
      <w:tr>
        <w:trPr>
          <w:cantSplit/>
        </w:trPr>
        <w:tc>
          <w:tcPr>
            <w:tcW w:type="dxa" w:w="15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16.7</w:t>
            </w:r>
          </w:p>
        </w:tc>
        <w:tc>
          <w:tcPr>
            <w:tcW w:type="dxa" w:w="36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Ensure responsive, inclusive, participatory decision-making</w:t>
            </w:r>
          </w:p>
        </w:tc>
        <w:tc>
          <w:tcPr>
            <w:tcW w:type="dxa" w:w="42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Survivor choices determine all planning and data-sharing actions</w:t>
            </w:r>
          </w:p>
        </w:tc>
      </w:tr>
      <w:tr>
        <w:trPr>
          <w:cantSplit/>
        </w:trPr>
        <w:tc>
          <w:tcPr>
            <w:tcW w:type="dxa" w:w="15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16.10</w:t>
            </w:r>
          </w:p>
        </w:tc>
        <w:tc>
          <w:tcPr>
            <w:tcW w:type="dxa" w:w="36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Public access to information and protection of fundamental freedoms</w:t>
            </w:r>
          </w:p>
        </w:tc>
        <w:tc>
          <w:tcPr>
            <w:tcW w:type="dxa" w:w="42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Gives understandable access to rights, service pathways, and data-use explanations</w:t>
            </w:r>
          </w:p>
        </w:tc>
      </w:tr>
      <w:tr>
        <w:trPr>
          <w:cantSplit/>
        </w:trPr>
        <w:tc>
          <w:tcPr>
            <w:tcW w:type="dxa" w:w="15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16.b</w:t>
            </w:r>
          </w:p>
        </w:tc>
        <w:tc>
          <w:tcPr>
            <w:tcW w:type="dxa" w:w="36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Promote non-discriminatory laws and policies</w:t>
            </w:r>
          </w:p>
        </w:tc>
        <w:tc>
          <w:tcPr>
            <w:tcW w:type="dxa" w:w="42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Uses accessible, non-discriminatory design and exposes aggregate service gaps without profiling people</w:t>
            </w:r>
          </w:p>
        </w:tc>
      </w:tr>
    </w:tbl>
    <w:p>
      <w:pPr>
        <w:pStyle w:val="Heading2"/>
        <w:spacing w:after="140" w:before="340"/>
      </w:pPr>
      <w:r>
        <w:rPr>
          <w:rFonts w:ascii="Cambria" w:cs="Cambria" w:eastAsia="Cambria" w:hAnsi="Cambria"/>
          <w:b/>
          <w:bCs/>
          <w:color w:val="7A2E2E"/>
          <w:sz w:val="24"/>
          <w:szCs w:val="24"/>
        </w:rPr>
        <w:t xml:space="preserve">SDG 16.3 — equal access to justice</w:t>
      </w:r>
    </w:p>
    <w:p>
      <w:pPr>
        <w:spacing w:after="160" w:line="300"/>
        <w:jc w:val="left"/>
      </w:pPr>
      <w:r>
        <w:rPr>
          <w:rFonts w:ascii="Garamond" w:cs="Garamond" w:eastAsia="Garamond" w:hAnsi="Garamond"/>
          <w:color w:val="24211C"/>
          <w:sz w:val="22"/>
          <w:szCs w:val="22"/>
        </w:rPr>
        <w:t xml:space="preserve">EXIT does not file police reports or provide legal advice. It lowers barriers to informed, survivor-controlled access to justice mechanisms:</w:t>
      </w:r>
    </w:p>
    <w:p>
      <w:pPr>
        <w:pStyle w:val="ListParagraph"/>
        <w:numPr>
          <w:ilvl w:val="0"/>
          <w:numId w:val="2"/>
        </w:numPr>
        <w:spacing w:after="90"/>
      </w:pPr>
      <w:r>
        <w:rPr>
          <w:rFonts w:ascii="Garamond" w:cs="Garamond" w:eastAsia="Garamond" w:hAnsi="Garamond"/>
          <w:color w:val="24211C"/>
          <w:sz w:val="22"/>
          <w:szCs w:val="22"/>
        </w:rPr>
        <w:t xml:space="preserve">Verified legal-aid routing</w:t>
      </w:r>
    </w:p>
    <w:p>
      <w:pPr>
        <w:pStyle w:val="ListParagraph"/>
        <w:numPr>
          <w:ilvl w:val="0"/>
          <w:numId w:val="2"/>
        </w:numPr>
        <w:spacing w:after="90"/>
      </w:pPr>
      <w:r>
        <w:rPr>
          <w:rFonts w:ascii="Garamond" w:cs="Garamond" w:eastAsia="Garamond" w:hAnsi="Garamond"/>
          <w:color w:val="24211C"/>
          <w:sz w:val="22"/>
          <w:szCs w:val="22"/>
        </w:rPr>
        <w:t xml:space="preserve">Plain-language explanation of possible support options</w:t>
      </w:r>
    </w:p>
    <w:p>
      <w:pPr>
        <w:pStyle w:val="ListParagraph"/>
        <w:numPr>
          <w:ilvl w:val="0"/>
          <w:numId w:val="2"/>
        </w:numPr>
        <w:spacing w:after="90"/>
      </w:pPr>
      <w:r>
        <w:rPr>
          <w:rFonts w:ascii="Garamond" w:cs="Garamond" w:eastAsia="Garamond" w:hAnsi="Garamond"/>
          <w:color w:val="24211C"/>
          <w:sz w:val="22"/>
          <w:szCs w:val="22"/>
        </w:rPr>
        <w:t xml:space="preserve">Private, user-reviewed incident timeline</w:t>
      </w:r>
    </w:p>
    <w:p>
      <w:pPr>
        <w:pStyle w:val="ListParagraph"/>
        <w:numPr>
          <w:ilvl w:val="0"/>
          <w:numId w:val="2"/>
        </w:numPr>
        <w:spacing w:after="90"/>
      </w:pPr>
      <w:r>
        <w:rPr>
          <w:rFonts w:ascii="Garamond" w:cs="Garamond" w:eastAsia="Garamond" w:hAnsi="Garamond"/>
          <w:color w:val="24211C"/>
          <w:sz w:val="22"/>
          <w:szCs w:val="22"/>
        </w:rPr>
        <w:t xml:space="preserve">Optional evidence continuity</w:t>
      </w:r>
    </w:p>
    <w:p>
      <w:pPr>
        <w:pStyle w:val="ListParagraph"/>
        <w:numPr>
          <w:ilvl w:val="0"/>
          <w:numId w:val="2"/>
        </w:numPr>
        <w:spacing w:after="90"/>
      </w:pPr>
      <w:r>
        <w:rPr>
          <w:rFonts w:ascii="Garamond" w:cs="Garamond" w:eastAsia="Garamond" w:hAnsi="Garamond"/>
          <w:color w:val="24211C"/>
          <w:sz w:val="22"/>
          <w:szCs w:val="22"/>
        </w:rPr>
        <w:t xml:space="preserve">Consent-based evidence export</w:t>
      </w:r>
    </w:p>
    <w:p>
      <w:pPr>
        <w:pStyle w:val="ListParagraph"/>
        <w:numPr>
          <w:ilvl w:val="0"/>
          <w:numId w:val="2"/>
        </w:numPr>
        <w:spacing w:after="90"/>
      </w:pPr>
      <w:r>
        <w:rPr>
          <w:rFonts w:ascii="Garamond" w:cs="Garamond" w:eastAsia="Garamond" w:hAnsi="Garamond"/>
          <w:color w:val="24211C"/>
          <w:sz w:val="22"/>
          <w:szCs w:val="22"/>
        </w:rPr>
        <w:t xml:space="preserve">Access and sharing audit logs</w:t>
      </w:r>
    </w:p>
    <w:p>
      <w:pPr>
        <w:pStyle w:val="ListParagraph"/>
        <w:numPr>
          <w:ilvl w:val="0"/>
          <w:numId w:val="2"/>
        </w:numPr>
        <w:spacing w:after="90"/>
      </w:pPr>
      <w:r>
        <w:rPr>
          <w:rFonts w:ascii="Garamond" w:cs="Garamond" w:eastAsia="Garamond" w:hAnsi="Garamond"/>
          <w:color w:val="24211C"/>
          <w:sz w:val="22"/>
          <w:szCs w:val="22"/>
        </w:rPr>
        <w:t xml:space="preserve">Referrals to qualified local legal and support organizations</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This directly aligns with the SDG 16.3 principle of access to justice. The official target includes the proportion of violence survivors who report victimization to competent authorities or recognized dispute-resolution mechanisms. EXIT can help make that pathway more understandable and less fragmented, but must never pressure reporting.</w:t>
      </w:r>
      <w:r>
        <w:rPr>
          <w:rFonts w:ascii="Garamond" w:cs="Garamond" w:eastAsia="Garamond" w:hAnsi="Garamond"/>
          <w:color w:val="6E6A63"/>
          <w:sz w:val="18"/>
          <w:szCs w:val="18"/>
        </w:rPr>
        <w:t xml:space="preserve">  — sdgs.un.org</w:t>
      </w:r>
    </w:p>
    <w:p>
      <w:pPr>
        <w:pStyle w:val="Heading2"/>
        <w:spacing w:after="140" w:before="340"/>
      </w:pPr>
      <w:r>
        <w:rPr>
          <w:rFonts w:ascii="Cambria" w:cs="Cambria" w:eastAsia="Cambria" w:hAnsi="Cambria"/>
          <w:b/>
          <w:bCs/>
          <w:color w:val="7A2E2E"/>
          <w:sz w:val="24"/>
          <w:szCs w:val="24"/>
        </w:rPr>
        <w:t xml:space="preserve">SDG 16.6 — accountable institutions</w:t>
      </w:r>
    </w:p>
    <w:p>
      <w:pPr>
        <w:spacing w:after="160" w:line="300"/>
        <w:jc w:val="left"/>
      </w:pPr>
      <w:r>
        <w:rPr>
          <w:rFonts w:ascii="Garamond" w:cs="Garamond" w:eastAsia="Garamond" w:hAnsi="Garamond"/>
          <w:color w:val="24211C"/>
          <w:sz w:val="22"/>
          <w:szCs w:val="22"/>
        </w:rPr>
        <w:t xml:space="preserve">LIVEGENDER helps institutions improve response readiness while preserving privacy. It provides:</w:t>
      </w:r>
    </w:p>
    <w:p>
      <w:pPr>
        <w:pStyle w:val="ListParagraph"/>
        <w:numPr>
          <w:ilvl w:val="0"/>
          <w:numId w:val="2"/>
        </w:numPr>
        <w:spacing w:after="90"/>
      </w:pPr>
      <w:r>
        <w:rPr>
          <w:rFonts w:ascii="Garamond" w:cs="Garamond" w:eastAsia="Garamond" w:hAnsi="Garamond"/>
          <w:color w:val="24211C"/>
          <w:sz w:val="22"/>
          <w:szCs w:val="22"/>
        </w:rPr>
        <w:t xml:space="preserve">Data-source provenance</w:t>
      </w:r>
    </w:p>
    <w:p>
      <w:pPr>
        <w:pStyle w:val="ListParagraph"/>
        <w:numPr>
          <w:ilvl w:val="0"/>
          <w:numId w:val="2"/>
        </w:numPr>
        <w:spacing w:after="90"/>
      </w:pPr>
      <w:r>
        <w:rPr>
          <w:rFonts w:ascii="Garamond" w:cs="Garamond" w:eastAsia="Garamond" w:hAnsi="Garamond"/>
          <w:color w:val="24211C"/>
          <w:sz w:val="22"/>
          <w:szCs w:val="22"/>
        </w:rPr>
        <w:t xml:space="preserve">Clear time / geographic limitations</w:t>
      </w:r>
    </w:p>
    <w:p>
      <w:pPr>
        <w:pStyle w:val="ListParagraph"/>
        <w:numPr>
          <w:ilvl w:val="0"/>
          <w:numId w:val="2"/>
        </w:numPr>
        <w:spacing w:after="90"/>
      </w:pPr>
      <w:r>
        <w:rPr>
          <w:rFonts w:ascii="Garamond" w:cs="Garamond" w:eastAsia="Garamond" w:hAnsi="Garamond"/>
          <w:color w:val="24211C"/>
          <w:sz w:val="22"/>
          <w:szCs w:val="22"/>
        </w:rPr>
        <w:t xml:space="preserve">Consent records</w:t>
      </w:r>
    </w:p>
    <w:p>
      <w:pPr>
        <w:pStyle w:val="ListParagraph"/>
        <w:numPr>
          <w:ilvl w:val="0"/>
          <w:numId w:val="2"/>
        </w:numPr>
        <w:spacing w:after="90"/>
      </w:pPr>
      <w:r>
        <w:rPr>
          <w:rFonts w:ascii="Garamond" w:cs="Garamond" w:eastAsia="Garamond" w:hAnsi="Garamond"/>
          <w:color w:val="24211C"/>
          <w:sz w:val="22"/>
          <w:szCs w:val="22"/>
        </w:rPr>
        <w:t xml:space="preserve">Minimum group threshold rule</w:t>
      </w:r>
    </w:p>
    <w:p>
      <w:pPr>
        <w:pStyle w:val="ListParagraph"/>
        <w:numPr>
          <w:ilvl w:val="0"/>
          <w:numId w:val="2"/>
        </w:numPr>
        <w:spacing w:after="90"/>
      </w:pPr>
      <w:r>
        <w:rPr>
          <w:rFonts w:ascii="Garamond" w:cs="Garamond" w:eastAsia="Garamond" w:hAnsi="Garamond"/>
          <w:color w:val="24211C"/>
          <w:sz w:val="22"/>
          <w:szCs w:val="22"/>
        </w:rPr>
        <w:t xml:space="preserve">Audit logs</w:t>
      </w:r>
    </w:p>
    <w:p>
      <w:pPr>
        <w:pStyle w:val="ListParagraph"/>
        <w:numPr>
          <w:ilvl w:val="0"/>
          <w:numId w:val="2"/>
        </w:numPr>
        <w:spacing w:after="90"/>
      </w:pPr>
      <w:r>
        <w:rPr>
          <w:rFonts w:ascii="Garamond" w:cs="Garamond" w:eastAsia="Garamond" w:hAnsi="Garamond"/>
          <w:color w:val="24211C"/>
          <w:sz w:val="22"/>
          <w:szCs w:val="22"/>
        </w:rPr>
        <w:t xml:space="preserve">Resource-directory verification dates</w:t>
      </w:r>
    </w:p>
    <w:p>
      <w:pPr>
        <w:pStyle w:val="ListParagraph"/>
        <w:numPr>
          <w:ilvl w:val="0"/>
          <w:numId w:val="2"/>
        </w:numPr>
        <w:spacing w:after="90"/>
      </w:pPr>
      <w:r>
        <w:rPr>
          <w:rFonts w:ascii="Garamond" w:cs="Garamond" w:eastAsia="Garamond" w:hAnsi="Garamond"/>
          <w:color w:val="24211C"/>
          <w:sz w:val="22"/>
          <w:szCs w:val="22"/>
        </w:rPr>
        <w:t xml:space="preserve">Restricted role-based access</w:t>
      </w:r>
    </w:p>
    <w:p>
      <w:pPr>
        <w:pStyle w:val="ListParagraph"/>
        <w:numPr>
          <w:ilvl w:val="0"/>
          <w:numId w:val="2"/>
        </w:numPr>
        <w:spacing w:after="90"/>
      </w:pPr>
      <w:r>
        <w:rPr>
          <w:rFonts w:ascii="Garamond" w:cs="Garamond" w:eastAsia="Garamond" w:hAnsi="Garamond"/>
          <w:color w:val="24211C"/>
          <w:sz w:val="22"/>
          <w:szCs w:val="22"/>
        </w:rPr>
        <w:t xml:space="preserve">Aggregated service-demand information</w:t>
      </w:r>
    </w:p>
    <w:p>
      <w:pPr>
        <w:pStyle w:val="ListParagraph"/>
        <w:numPr>
          <w:ilvl w:val="0"/>
          <w:numId w:val="2"/>
        </w:numPr>
        <w:spacing w:after="90"/>
      </w:pPr>
      <w:r>
        <w:rPr>
          <w:rFonts w:ascii="Garamond" w:cs="Garamond" w:eastAsia="Garamond" w:hAnsi="Garamond"/>
          <w:color w:val="24211C"/>
          <w:sz w:val="22"/>
          <w:szCs w:val="22"/>
        </w:rPr>
        <w:t xml:space="preserve">Transparent data-quality labels</w:t>
      </w:r>
    </w:p>
    <w:p>
      <w:pPr>
        <w:pStyle w:val="Heading2"/>
        <w:spacing w:after="140" w:before="340"/>
      </w:pPr>
      <w:r>
        <w:rPr>
          <w:rFonts w:ascii="Cambria" w:cs="Cambria" w:eastAsia="Cambria" w:hAnsi="Cambria"/>
          <w:b/>
          <w:bCs/>
          <w:color w:val="7A2E2E"/>
          <w:sz w:val="24"/>
          <w:szCs w:val="24"/>
        </w:rPr>
        <w:t xml:space="preserve">SDG 16.7 — participatory decision-making</w:t>
      </w:r>
    </w:p>
    <w:p>
      <w:pPr>
        <w:spacing w:after="160" w:line="300"/>
        <w:jc w:val="left"/>
      </w:pPr>
      <w:r>
        <w:rPr>
          <w:rFonts w:ascii="Garamond" w:cs="Garamond" w:eastAsia="Garamond" w:hAnsi="Garamond"/>
          <w:color w:val="24211C"/>
          <w:sz w:val="22"/>
          <w:szCs w:val="22"/>
        </w:rPr>
        <w:t xml:space="preserve">The survivor controls:</w:t>
      </w:r>
    </w:p>
    <w:p>
      <w:pPr>
        <w:pStyle w:val="ListParagraph"/>
        <w:numPr>
          <w:ilvl w:val="0"/>
          <w:numId w:val="2"/>
        </w:numPr>
        <w:spacing w:after="90"/>
      </w:pPr>
      <w:r>
        <w:rPr>
          <w:rFonts w:ascii="Garamond" w:cs="Garamond" w:eastAsia="Garamond" w:hAnsi="Garamond"/>
          <w:color w:val="24211C"/>
          <w:sz w:val="22"/>
          <w:szCs w:val="22"/>
        </w:rPr>
        <w:t xml:space="preserve">Whether to use the app anonymously</w:t>
      </w:r>
    </w:p>
    <w:p>
      <w:pPr>
        <w:pStyle w:val="ListParagraph"/>
        <w:numPr>
          <w:ilvl w:val="0"/>
          <w:numId w:val="2"/>
        </w:numPr>
        <w:spacing w:after="90"/>
      </w:pPr>
      <w:r>
        <w:rPr>
          <w:rFonts w:ascii="Garamond" w:cs="Garamond" w:eastAsia="Garamond" w:hAnsi="Garamond"/>
          <w:color w:val="24211C"/>
          <w:sz w:val="22"/>
          <w:szCs w:val="22"/>
        </w:rPr>
        <w:t xml:space="preserve">Whether to save a plan</w:t>
      </w:r>
    </w:p>
    <w:p>
      <w:pPr>
        <w:pStyle w:val="ListParagraph"/>
        <w:numPr>
          <w:ilvl w:val="0"/>
          <w:numId w:val="2"/>
        </w:numPr>
        <w:spacing w:after="90"/>
      </w:pPr>
      <w:r>
        <w:rPr>
          <w:rFonts w:ascii="Garamond" w:cs="Garamond" w:eastAsia="Garamond" w:hAnsi="Garamond"/>
          <w:color w:val="24211C"/>
          <w:sz w:val="22"/>
          <w:szCs w:val="22"/>
        </w:rPr>
        <w:t xml:space="preserve">Whether to store evidence</w:t>
      </w:r>
    </w:p>
    <w:p>
      <w:pPr>
        <w:pStyle w:val="ListParagraph"/>
        <w:numPr>
          <w:ilvl w:val="0"/>
          <w:numId w:val="2"/>
        </w:numPr>
        <w:spacing w:after="90"/>
      </w:pPr>
      <w:r>
        <w:rPr>
          <w:rFonts w:ascii="Garamond" w:cs="Garamond" w:eastAsia="Garamond" w:hAnsi="Garamond"/>
          <w:color w:val="24211C"/>
          <w:sz w:val="22"/>
          <w:szCs w:val="22"/>
        </w:rPr>
        <w:t xml:space="preserve">Whether to share evidence</w:t>
      </w:r>
    </w:p>
    <w:p>
      <w:pPr>
        <w:pStyle w:val="ListParagraph"/>
        <w:numPr>
          <w:ilvl w:val="0"/>
          <w:numId w:val="2"/>
        </w:numPr>
        <w:spacing w:after="90"/>
      </w:pPr>
      <w:r>
        <w:rPr>
          <w:rFonts w:ascii="Garamond" w:cs="Garamond" w:eastAsia="Garamond" w:hAnsi="Garamond"/>
          <w:color w:val="24211C"/>
          <w:sz w:val="22"/>
          <w:szCs w:val="22"/>
        </w:rPr>
        <w:t xml:space="preserve">Which evidence to export</w:t>
      </w:r>
    </w:p>
    <w:p>
      <w:pPr>
        <w:pStyle w:val="ListParagraph"/>
        <w:numPr>
          <w:ilvl w:val="0"/>
          <w:numId w:val="2"/>
        </w:numPr>
        <w:spacing w:after="90"/>
      </w:pPr>
      <w:r>
        <w:rPr>
          <w:rFonts w:ascii="Garamond" w:cs="Garamond" w:eastAsia="Garamond" w:hAnsi="Garamond"/>
          <w:color w:val="24211C"/>
          <w:sz w:val="22"/>
          <w:szCs w:val="22"/>
        </w:rPr>
        <w:t xml:space="preserve">Who can receive it</w:t>
      </w:r>
    </w:p>
    <w:p>
      <w:pPr>
        <w:pStyle w:val="ListParagraph"/>
        <w:numPr>
          <w:ilvl w:val="0"/>
          <w:numId w:val="2"/>
        </w:numPr>
        <w:spacing w:after="90"/>
      </w:pPr>
      <w:r>
        <w:rPr>
          <w:rFonts w:ascii="Garamond" w:cs="Garamond" w:eastAsia="Garamond" w:hAnsi="Garamond"/>
          <w:color w:val="24211C"/>
          <w:sz w:val="22"/>
          <w:szCs w:val="22"/>
        </w:rPr>
        <w:t xml:space="preserve">Whether to contribute anonymized trend data</w:t>
      </w:r>
    </w:p>
    <w:p>
      <w:pPr>
        <w:pStyle w:val="ListParagraph"/>
        <w:numPr>
          <w:ilvl w:val="0"/>
          <w:numId w:val="2"/>
        </w:numPr>
        <w:spacing w:after="90"/>
      </w:pPr>
      <w:r>
        <w:rPr>
          <w:rFonts w:ascii="Garamond" w:cs="Garamond" w:eastAsia="Garamond" w:hAnsi="Garamond"/>
          <w:color w:val="24211C"/>
          <w:sz w:val="22"/>
          <w:szCs w:val="22"/>
        </w:rPr>
        <w:t xml:space="preserve">Which fields may be shared</w:t>
      </w:r>
    </w:p>
    <w:p>
      <w:pPr>
        <w:pStyle w:val="ListParagraph"/>
        <w:numPr>
          <w:ilvl w:val="0"/>
          <w:numId w:val="2"/>
        </w:numPr>
        <w:spacing w:after="90"/>
      </w:pPr>
      <w:r>
        <w:rPr>
          <w:rFonts w:ascii="Garamond" w:cs="Garamond" w:eastAsia="Garamond" w:hAnsi="Garamond"/>
          <w:color w:val="24211C"/>
          <w:sz w:val="22"/>
          <w:szCs w:val="22"/>
        </w:rPr>
        <w:t xml:space="preserve">Whether to withdraw future contributions</w:t>
      </w:r>
    </w:p>
    <w:p>
      <w:pPr>
        <w:spacing w:after="160" w:line="300"/>
        <w:jc w:val="left"/>
      </w:pPr>
      <w:r>
        <w:rPr>
          <w:rFonts w:ascii="Garamond" w:cs="Garamond" w:eastAsia="Garamond" w:hAnsi="Garamond"/>
          <w:color w:val="24211C"/>
          <w:sz w:val="22"/>
          <w:szCs w:val="22"/>
        </w:rPr>
        <w:t xml:space="preserve">This turns a survivor from a passive “case” into the decision-maker.</w:t>
      </w:r>
    </w:p>
    <w:p>
      <w:r>
        <w:br w:type="page"/>
      </w:r>
    </w:p>
    <w:p>
      <w:pPr>
        <w:pStyle w:val="Heading1"/>
        <w:pBdr>
          <w:bottom w:val="single" w:color="7A2E2E" w:sz="10" w:space="8"/>
        </w:pBdr>
        <w:spacing w:after="200" w:before="520"/>
      </w:pPr>
      <w:r>
        <w:rPr>
          <w:rFonts w:ascii="Cambria" w:cs="Cambria" w:eastAsia="Cambria" w:hAnsi="Cambria"/>
          <w:b/>
          <w:bCs/>
          <w:color w:val="6E6A63"/>
          <w:sz w:val="26"/>
          <w:szCs w:val="26"/>
        </w:rPr>
        <w:t xml:space="preserve">5  </w:t>
      </w:r>
      <w:r>
        <w:rPr>
          <w:rFonts w:ascii="Cambria" w:cs="Cambria" w:eastAsia="Cambria" w:hAnsi="Cambria"/>
          <w:b/>
          <w:bCs/>
          <w:color w:val="24211C"/>
          <w:spacing w:val="6"/>
          <w:sz w:val="30"/>
          <w:szCs w:val="30"/>
        </w:rPr>
        <w:t xml:space="preserve">UN Women Data Alignment</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UN Women says accurate, reliable, and comparable TF-VAWG data is lacking, partly because there is no universally agreed definition and measurement approach.</w:t>
      </w:r>
      <w:r>
        <w:rPr>
          <w:rFonts w:ascii="Garamond" w:cs="Garamond" w:eastAsia="Garamond" w:hAnsi="Garamond"/>
          <w:color w:val="6E6A63"/>
          <w:sz w:val="18"/>
          <w:szCs w:val="18"/>
        </w:rPr>
        <w:t xml:space="preserve">  — UN Women</w:t>
      </w:r>
    </w:p>
    <w:p>
      <w:pPr>
        <w:pStyle w:val="Heading2"/>
        <w:spacing w:after="140" w:before="340"/>
      </w:pPr>
      <w:r>
        <w:rPr>
          <w:rFonts w:ascii="Cambria" w:cs="Cambria" w:eastAsia="Cambria" w:hAnsi="Cambria"/>
          <w:b/>
          <w:bCs/>
          <w:color w:val="7A2E2E"/>
          <w:sz w:val="24"/>
          <w:szCs w:val="24"/>
        </w:rPr>
        <w:t xml:space="preserve">LIVEGENDER's contribution</w:t>
      </w:r>
    </w:p>
    <w:p>
      <w:pPr>
        <w:spacing w:after="160" w:line="300"/>
        <w:jc w:val="left"/>
      </w:pPr>
      <w:r>
        <w:rPr>
          <w:rFonts w:ascii="Garamond" w:cs="Garamond" w:eastAsia="Garamond" w:hAnsi="Garamond"/>
          <w:color w:val="24211C"/>
          <w:sz w:val="22"/>
          <w:szCs w:val="22"/>
        </w:rPr>
        <w:t xml:space="preserve">LIVEGENDER does not claim to solve global measurement completely. It proposes a cautious, ethical prototype methodology:</w:t>
      </w:r>
    </w:p>
    <w:p>
      <w:pPr>
        <w:pStyle w:val="ListParagraph"/>
        <w:numPr>
          <w:ilvl w:val="0"/>
          <w:numId w:val="3"/>
        </w:numPr>
        <w:spacing w:after="100"/>
      </w:pPr>
      <w:r>
        <w:rPr>
          <w:rFonts w:ascii="Garamond" w:cs="Garamond" w:eastAsia="Garamond" w:hAnsi="Garamond"/>
          <w:color w:val="24211C"/>
          <w:sz w:val="22"/>
          <w:szCs w:val="22"/>
        </w:rPr>
        <w:t xml:space="preserve">Use a transparent controlled taxonomy.</w:t>
      </w:r>
    </w:p>
    <w:p>
      <w:pPr>
        <w:pStyle w:val="ListParagraph"/>
        <w:numPr>
          <w:ilvl w:val="0"/>
          <w:numId w:val="3"/>
        </w:numPr>
        <w:spacing w:after="100"/>
      </w:pPr>
      <w:r>
        <w:rPr>
          <w:rFonts w:ascii="Garamond" w:cs="Garamond" w:eastAsia="Garamond" w:hAnsi="Garamond"/>
          <w:color w:val="24211C"/>
          <w:sz w:val="22"/>
          <w:szCs w:val="22"/>
        </w:rPr>
        <w:t xml:space="preserve">Collect only voluntarily contributed, user-approved minimum data.</w:t>
      </w:r>
    </w:p>
    <w:p>
      <w:pPr>
        <w:pStyle w:val="ListParagraph"/>
        <w:numPr>
          <w:ilvl w:val="0"/>
          <w:numId w:val="3"/>
        </w:numPr>
        <w:spacing w:after="100"/>
      </w:pPr>
      <w:r>
        <w:rPr>
          <w:rFonts w:ascii="Garamond" w:cs="Garamond" w:eastAsia="Garamond" w:hAnsi="Garamond"/>
          <w:color w:val="24211C"/>
          <w:sz w:val="22"/>
          <w:szCs w:val="22"/>
        </w:rPr>
        <w:t xml:space="preserve">Strip identifiers.</w:t>
      </w:r>
    </w:p>
    <w:p>
      <w:pPr>
        <w:pStyle w:val="ListParagraph"/>
        <w:numPr>
          <w:ilvl w:val="0"/>
          <w:numId w:val="3"/>
        </w:numPr>
        <w:spacing w:after="100"/>
      </w:pPr>
      <w:r>
        <w:rPr>
          <w:rFonts w:ascii="Garamond" w:cs="Garamond" w:eastAsia="Garamond" w:hAnsi="Garamond"/>
          <w:color w:val="24211C"/>
          <w:sz w:val="22"/>
          <w:szCs w:val="22"/>
        </w:rPr>
        <w:t xml:space="preserve">Generalize location and time.</w:t>
      </w:r>
    </w:p>
    <w:p>
      <w:pPr>
        <w:pStyle w:val="ListParagraph"/>
        <w:numPr>
          <w:ilvl w:val="0"/>
          <w:numId w:val="3"/>
        </w:numPr>
        <w:spacing w:after="100"/>
      </w:pPr>
      <w:r>
        <w:rPr>
          <w:rFonts w:ascii="Garamond" w:cs="Garamond" w:eastAsia="Garamond" w:hAnsi="Garamond"/>
          <w:color w:val="24211C"/>
          <w:sz w:val="22"/>
          <w:szCs w:val="22"/>
        </w:rPr>
        <w:t xml:space="preserve">Suppress small groups.</w:t>
      </w:r>
    </w:p>
    <w:p>
      <w:pPr>
        <w:pStyle w:val="ListParagraph"/>
        <w:numPr>
          <w:ilvl w:val="0"/>
          <w:numId w:val="3"/>
        </w:numPr>
        <w:spacing w:after="100"/>
      </w:pPr>
      <w:r>
        <w:rPr>
          <w:rFonts w:ascii="Garamond" w:cs="Garamond" w:eastAsia="Garamond" w:hAnsi="Garamond"/>
          <w:color w:val="24211C"/>
          <w:sz w:val="22"/>
          <w:szCs w:val="22"/>
        </w:rPr>
        <w:t xml:space="preserve">Add privacy protection before publication.</w:t>
      </w:r>
    </w:p>
    <w:p>
      <w:pPr>
        <w:pStyle w:val="ListParagraph"/>
        <w:numPr>
          <w:ilvl w:val="0"/>
          <w:numId w:val="3"/>
        </w:numPr>
        <w:spacing w:after="100"/>
      </w:pPr>
      <w:r>
        <w:rPr>
          <w:rFonts w:ascii="Garamond" w:cs="Garamond" w:eastAsia="Garamond" w:hAnsi="Garamond"/>
          <w:color w:val="24211C"/>
          <w:sz w:val="22"/>
          <w:szCs w:val="22"/>
        </w:rPr>
        <w:t xml:space="preserve">Show data provenance and limitations.</w:t>
      </w:r>
    </w:p>
    <w:p>
      <w:pPr>
        <w:pStyle w:val="ListParagraph"/>
        <w:numPr>
          <w:ilvl w:val="0"/>
          <w:numId w:val="3"/>
        </w:numPr>
        <w:spacing w:after="100"/>
      </w:pPr>
      <w:r>
        <w:rPr>
          <w:rFonts w:ascii="Garamond" w:cs="Garamond" w:eastAsia="Garamond" w:hAnsi="Garamond"/>
          <w:color w:val="24211C"/>
          <w:sz w:val="22"/>
          <w:szCs w:val="22"/>
        </w:rPr>
        <w:t xml:space="preserve">Restrict dashboards to governed institutional users.</w:t>
      </w:r>
    </w:p>
    <w:p>
      <w:pPr>
        <w:pStyle w:val="ListParagraph"/>
        <w:numPr>
          <w:ilvl w:val="0"/>
          <w:numId w:val="3"/>
        </w:numPr>
        <w:spacing w:after="100"/>
      </w:pPr>
      <w:r>
        <w:rPr>
          <w:rFonts w:ascii="Garamond" w:cs="Garamond" w:eastAsia="Garamond" w:hAnsi="Garamond"/>
          <w:color w:val="24211C"/>
          <w:sz w:val="22"/>
          <w:szCs w:val="22"/>
        </w:rPr>
        <w:t xml:space="preserve">Use trends to improve support capacity, not target people.</w:t>
      </w:r>
    </w:p>
    <w:p>
      <w:pPr>
        <w:pStyle w:val="Heading2"/>
        <w:spacing w:after="140" w:before="340"/>
      </w:pPr>
      <w:r>
        <w:rPr>
          <w:rFonts w:ascii="Cambria" w:cs="Cambria" w:eastAsia="Cambria" w:hAnsi="Cambria"/>
          <w:b/>
          <w:bCs/>
          <w:color w:val="7A2E2E"/>
          <w:sz w:val="24"/>
          <w:szCs w:val="24"/>
        </w:rPr>
        <w:t xml:space="preserve">Controlled taxonomy</w:t>
      </w:r>
    </w:p>
    <w:tbl>
      <w:tblPr>
        <w:tblW w:type="dxa" w:w="9350"/>
        <w:tblBorders>
          <w:top w:val="single" w:color="C9C2B4" w:sz="4"/>
          <w:left w:val="single" w:color="C9C2B4" w:sz="4"/>
          <w:bottom w:val="single" w:color="C9C2B4" w:sz="4"/>
          <w:right w:val="single" w:color="C9C2B4" w:sz="4"/>
          <w:insideH w:val="single" w:color="C9C2B4" w:sz="4"/>
          <w:insideV w:val="single" w:color="C9C2B4" w:sz="4"/>
        </w:tblBorders>
      </w:tblPr>
      <w:tblGrid>
        <w:gridCol w:w="2900"/>
        <w:gridCol w:w="6450"/>
      </w:tblGrid>
      <w:tr>
        <w:trPr>
          <w:cantSplit/>
          <w:tblHeader/>
        </w:trPr>
        <w:tc>
          <w:tcPr>
            <w:tcW w:type="dxa" w:w="29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Category</w:t>
            </w:r>
          </w:p>
        </w:tc>
        <w:tc>
          <w:tcPr>
            <w:tcW w:type="dxa" w:w="645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Why it is included</w:t>
            </w:r>
          </w:p>
        </w:tc>
      </w:tr>
      <w:tr>
        <w:trPr>
          <w:cantSplit/>
        </w:trPr>
        <w:tc>
          <w:tcPr>
            <w:tcW w:type="dxa" w:w="2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Cyberstalking</w:t>
            </w:r>
          </w:p>
        </w:tc>
        <w:tc>
          <w:tcPr>
            <w:tcW w:type="dxa" w:w="64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Repeated unwanted monitoring / contact is a common digital abuse form</w:t>
            </w:r>
          </w:p>
        </w:tc>
      </w:tr>
      <w:tr>
        <w:trPr>
          <w:cantSplit/>
        </w:trPr>
        <w:tc>
          <w:tcPr>
            <w:tcW w:type="dxa" w:w="2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Doxxing</w:t>
            </w:r>
          </w:p>
        </w:tc>
        <w:tc>
          <w:tcPr>
            <w:tcW w:type="dxa" w:w="64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Personal information is exposed without consent</w:t>
            </w:r>
          </w:p>
        </w:tc>
      </w:tr>
      <w:tr>
        <w:trPr>
          <w:cantSplit/>
        </w:trPr>
        <w:tc>
          <w:tcPr>
            <w:tcW w:type="dxa" w:w="2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Impersonation</w:t>
            </w:r>
          </w:p>
        </w:tc>
        <w:tc>
          <w:tcPr>
            <w:tcW w:type="dxa" w:w="64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False identity / profile used to deceive or harm</w:t>
            </w:r>
          </w:p>
        </w:tc>
      </w:tr>
      <w:tr>
        <w:trPr>
          <w:cantSplit/>
        </w:trPr>
        <w:tc>
          <w:tcPr>
            <w:tcW w:type="dxa" w:w="2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Image-based abuse</w:t>
            </w:r>
          </w:p>
        </w:tc>
        <w:tc>
          <w:tcPr>
            <w:tcW w:type="dxa" w:w="64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Intimate content shared or threatened without consent</w:t>
            </w:r>
          </w:p>
        </w:tc>
      </w:tr>
      <w:tr>
        <w:trPr>
          <w:cantSplit/>
        </w:trPr>
        <w:tc>
          <w:tcPr>
            <w:tcW w:type="dxa" w:w="2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Suspected AI-manipulated abuse</w:t>
            </w:r>
          </w:p>
        </w:tc>
        <w:tc>
          <w:tcPr>
            <w:tcW w:type="dxa" w:w="64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Deepfake / altered media may be used to harm or intimidate</w:t>
            </w:r>
          </w:p>
        </w:tc>
      </w:tr>
      <w:tr>
        <w:trPr>
          <w:cantSplit/>
        </w:trPr>
        <w:tc>
          <w:tcPr>
            <w:tcW w:type="dxa" w:w="2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Sextortion</w:t>
            </w:r>
          </w:p>
        </w:tc>
        <w:tc>
          <w:tcPr>
            <w:tcW w:type="dxa" w:w="64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Threats involving intimate material to demand money / images / actions</w:t>
            </w:r>
          </w:p>
        </w:tc>
      </w:tr>
      <w:tr>
        <w:trPr>
          <w:cantSplit/>
        </w:trPr>
        <w:tc>
          <w:tcPr>
            <w:tcW w:type="dxa" w:w="2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Online harassment</w:t>
            </w:r>
          </w:p>
        </w:tc>
        <w:tc>
          <w:tcPr>
            <w:tcW w:type="dxa" w:w="64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Repeated targeted abusive or threatening communication</w:t>
            </w:r>
          </w:p>
        </w:tc>
      </w:tr>
      <w:tr>
        <w:trPr>
          <w:cantSplit/>
        </w:trPr>
        <w:tc>
          <w:tcPr>
            <w:tcW w:type="dxa" w:w="2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Account coercion</w:t>
            </w:r>
          </w:p>
        </w:tc>
        <w:tc>
          <w:tcPr>
            <w:tcW w:type="dxa" w:w="64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Forced account access / control, password surveillance, recovery takeover</w:t>
            </w:r>
          </w:p>
        </w:tc>
      </w:tr>
      <w:tr>
        <w:trPr>
          <w:cantSplit/>
        </w:trPr>
        <w:tc>
          <w:tcPr>
            <w:tcW w:type="dxa" w:w="2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Location-tracking abuse</w:t>
            </w:r>
          </w:p>
        </w:tc>
        <w:tc>
          <w:tcPr>
            <w:tcW w:type="dxa" w:w="64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Misuse of devices / accounts / apps to monitor someone</w:t>
            </w:r>
          </w:p>
        </w:tc>
      </w:tr>
      <w:tr>
        <w:trPr>
          <w:cantSplit/>
        </w:trPr>
        <w:tc>
          <w:tcPr>
            <w:tcW w:type="dxa" w:w="2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Coordinated digital attacks</w:t>
            </w:r>
          </w:p>
        </w:tc>
        <w:tc>
          <w:tcPr>
            <w:tcW w:type="dxa" w:w="64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Multiple accounts or people target one person</w:t>
            </w:r>
          </w:p>
        </w:tc>
      </w:tr>
    </w:tbl>
    <w:p>
      <w:pPr>
        <w:pStyle w:val="Heading2"/>
        <w:spacing w:after="140" w:before="340"/>
      </w:pPr>
      <w:r>
        <w:rPr>
          <w:rFonts w:ascii="Cambria" w:cs="Cambria" w:eastAsia="Cambria" w:hAnsi="Cambria"/>
          <w:b/>
          <w:bCs/>
          <w:color w:val="7A2E2E"/>
          <w:sz w:val="24"/>
          <w:szCs w:val="24"/>
        </w:rPr>
        <w:t xml:space="preserve">What LIVEGENDER measures</w:t>
      </w:r>
    </w:p>
    <w:p>
      <w:pPr>
        <w:spacing w:after="160" w:line="300"/>
        <w:jc w:val="left"/>
      </w:pPr>
      <w:r>
        <w:rPr>
          <w:rFonts w:ascii="Garamond" w:cs="Garamond" w:eastAsia="Garamond" w:hAnsi="Garamond"/>
          <w:color w:val="24211C"/>
          <w:sz w:val="22"/>
          <w:szCs w:val="22"/>
        </w:rPr>
        <w:t xml:space="preserve">It measures only:</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Voluntary, de-identified, threshold-protected help-seeking signals.</w:t>
      </w:r>
    </w:p>
    <w:p>
      <w:pPr>
        <w:spacing w:after="160" w:line="300"/>
        <w:jc w:val="left"/>
      </w:pPr>
      <w:r>
        <w:rPr>
          <w:rFonts w:ascii="Garamond" w:cs="Garamond" w:eastAsia="Garamond" w:hAnsi="Garamond"/>
          <w:color w:val="24211C"/>
          <w:sz w:val="22"/>
          <w:szCs w:val="22"/>
        </w:rPr>
        <w:t xml:space="preserve">It does not measure:</w:t>
      </w:r>
    </w:p>
    <w:p>
      <w:pPr>
        <w:pStyle w:val="ListParagraph"/>
        <w:numPr>
          <w:ilvl w:val="0"/>
          <w:numId w:val="2"/>
        </w:numPr>
        <w:spacing w:after="90"/>
      </w:pPr>
      <w:r>
        <w:rPr>
          <w:rFonts w:ascii="Garamond" w:cs="Garamond" w:eastAsia="Garamond" w:hAnsi="Garamond"/>
          <w:color w:val="24211C"/>
          <w:sz w:val="22"/>
          <w:szCs w:val="22"/>
        </w:rPr>
        <w:t xml:space="preserve">True prevalence of violence</w:t>
      </w:r>
    </w:p>
    <w:p>
      <w:pPr>
        <w:pStyle w:val="ListParagraph"/>
        <w:numPr>
          <w:ilvl w:val="0"/>
          <w:numId w:val="2"/>
        </w:numPr>
        <w:spacing w:after="90"/>
      </w:pPr>
      <w:r>
        <w:rPr>
          <w:rFonts w:ascii="Garamond" w:cs="Garamond" w:eastAsia="Garamond" w:hAnsi="Garamond"/>
          <w:color w:val="24211C"/>
          <w:sz w:val="22"/>
          <w:szCs w:val="22"/>
        </w:rPr>
        <w:t xml:space="preserve">Police-verified cases</w:t>
      </w:r>
    </w:p>
    <w:p>
      <w:pPr>
        <w:pStyle w:val="ListParagraph"/>
        <w:numPr>
          <w:ilvl w:val="0"/>
          <w:numId w:val="2"/>
        </w:numPr>
        <w:spacing w:after="90"/>
      </w:pPr>
      <w:r>
        <w:rPr>
          <w:rFonts w:ascii="Garamond" w:cs="Garamond" w:eastAsia="Garamond" w:hAnsi="Garamond"/>
          <w:color w:val="24211C"/>
          <w:sz w:val="22"/>
          <w:szCs w:val="22"/>
        </w:rPr>
        <w:t xml:space="preserve">Crime rates</w:t>
      </w:r>
    </w:p>
    <w:p>
      <w:pPr>
        <w:pStyle w:val="ListParagraph"/>
        <w:numPr>
          <w:ilvl w:val="0"/>
          <w:numId w:val="2"/>
        </w:numPr>
        <w:spacing w:after="90"/>
      </w:pPr>
      <w:r>
        <w:rPr>
          <w:rFonts w:ascii="Garamond" w:cs="Garamond" w:eastAsia="Garamond" w:hAnsi="Garamond"/>
          <w:color w:val="24211C"/>
          <w:sz w:val="22"/>
          <w:szCs w:val="22"/>
        </w:rPr>
        <w:t xml:space="preserve">Perpetrator behavior</w:t>
      </w:r>
    </w:p>
    <w:p>
      <w:pPr>
        <w:pStyle w:val="ListParagraph"/>
        <w:numPr>
          <w:ilvl w:val="0"/>
          <w:numId w:val="2"/>
        </w:numPr>
        <w:spacing w:after="90"/>
      </w:pPr>
      <w:r>
        <w:rPr>
          <w:rFonts w:ascii="Garamond" w:cs="Garamond" w:eastAsia="Garamond" w:hAnsi="Garamond"/>
          <w:color w:val="24211C"/>
          <w:sz w:val="22"/>
          <w:szCs w:val="22"/>
        </w:rPr>
        <w:t xml:space="preserve">Unsafe areas</w:t>
      </w:r>
    </w:p>
    <w:p>
      <w:pPr>
        <w:pStyle w:val="ListParagraph"/>
        <w:numPr>
          <w:ilvl w:val="0"/>
          <w:numId w:val="2"/>
        </w:numPr>
        <w:spacing w:after="90"/>
      </w:pPr>
      <w:r>
        <w:rPr>
          <w:rFonts w:ascii="Garamond" w:cs="Garamond" w:eastAsia="Garamond" w:hAnsi="Garamond"/>
          <w:color w:val="24211C"/>
          <w:sz w:val="22"/>
          <w:szCs w:val="22"/>
        </w:rPr>
        <w:t xml:space="preserve">Individual risk</w:t>
      </w:r>
    </w:p>
    <w:p>
      <w:pPr>
        <w:pStyle w:val="ListParagraph"/>
        <w:numPr>
          <w:ilvl w:val="0"/>
          <w:numId w:val="2"/>
        </w:numPr>
        <w:spacing w:after="90"/>
      </w:pPr>
      <w:r>
        <w:rPr>
          <w:rFonts w:ascii="Garamond" w:cs="Garamond" w:eastAsia="Garamond" w:hAnsi="Garamond"/>
          <w:color w:val="24211C"/>
          <w:sz w:val="22"/>
          <w:szCs w:val="22"/>
        </w:rPr>
        <w:t xml:space="preserve">Whether reports are true / false</w:t>
      </w:r>
    </w:p>
    <w:p>
      <w:pPr>
        <w:pStyle w:val="ListParagraph"/>
        <w:numPr>
          <w:ilvl w:val="0"/>
          <w:numId w:val="2"/>
        </w:numPr>
        <w:spacing w:after="90"/>
      </w:pPr>
      <w:r>
        <w:rPr>
          <w:rFonts w:ascii="Garamond" w:cs="Garamond" w:eastAsia="Garamond" w:hAnsi="Garamond"/>
          <w:color w:val="24211C"/>
          <w:sz w:val="22"/>
          <w:szCs w:val="22"/>
        </w:rPr>
        <w:t xml:space="preserve">Causal online / offline connections</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This honest limitation is essential because UN Women explicitly notes important gaps in data and knowledge about manifestations, impacts, and links between forms of TF-VAWG.</w:t>
      </w:r>
      <w:r>
        <w:rPr>
          <w:rFonts w:ascii="Garamond" w:cs="Garamond" w:eastAsia="Garamond" w:hAnsi="Garamond"/>
          <w:color w:val="6E6A63"/>
          <w:sz w:val="18"/>
          <w:szCs w:val="18"/>
        </w:rPr>
        <w:t xml:space="preserve">  — UN Women</w:t>
      </w:r>
    </w:p>
    <w:p>
      <w:pPr>
        <w:pStyle w:val="Heading1"/>
        <w:pBdr>
          <w:bottom w:val="single" w:color="7A2E2E" w:sz="10" w:space="8"/>
        </w:pBdr>
        <w:spacing w:after="200" w:before="520"/>
      </w:pPr>
      <w:r>
        <w:rPr>
          <w:rFonts w:ascii="Cambria" w:cs="Cambria" w:eastAsia="Cambria" w:hAnsi="Cambria"/>
          <w:b/>
          <w:bCs/>
          <w:color w:val="6E6A63"/>
          <w:sz w:val="26"/>
          <w:szCs w:val="26"/>
        </w:rPr>
        <w:t xml:space="preserve">6  </w:t>
      </w:r>
      <w:r>
        <w:rPr>
          <w:rFonts w:ascii="Cambria" w:cs="Cambria" w:eastAsia="Cambria" w:hAnsi="Cambria"/>
          <w:b/>
          <w:bCs/>
          <w:color w:val="24211C"/>
          <w:spacing w:val="6"/>
          <w:sz w:val="30"/>
          <w:szCs w:val="30"/>
        </w:rPr>
        <w:t xml:space="preserve">UNFPA Ethical-Tech Alignment</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UNFPA's safe and ethical technology guidance exists because technology can assist GBV programming but can also generate new privacy, security, and safety risks.</w:t>
      </w:r>
      <w:r>
        <w:rPr>
          <w:rFonts w:ascii="Garamond" w:cs="Garamond" w:eastAsia="Garamond" w:hAnsi="Garamond"/>
          <w:color w:val="6E6A63"/>
          <w:sz w:val="18"/>
          <w:szCs w:val="18"/>
        </w:rPr>
        <w:t xml:space="preserve">  — UNFPA</w:t>
      </w:r>
    </w:p>
    <w:p>
      <w:pPr>
        <w:pStyle w:val="Heading2"/>
        <w:spacing w:after="140" w:before="340"/>
      </w:pPr>
      <w:r>
        <w:rPr>
          <w:rFonts w:ascii="Cambria" w:cs="Cambria" w:eastAsia="Cambria" w:hAnsi="Cambria"/>
          <w:b/>
          <w:bCs/>
          <w:color w:val="7A2E2E"/>
          <w:sz w:val="24"/>
          <w:szCs w:val="24"/>
        </w:rPr>
        <w:t xml:space="preserve">Core UNFPA-aligned principles</w:t>
      </w:r>
    </w:p>
    <w:tbl>
      <w:tblPr>
        <w:tblW w:type="dxa" w:w="9350"/>
        <w:tblBorders>
          <w:top w:val="single" w:color="C9C2B4" w:sz="4"/>
          <w:left w:val="single" w:color="C9C2B4" w:sz="4"/>
          <w:bottom w:val="single" w:color="C9C2B4" w:sz="4"/>
          <w:right w:val="single" w:color="C9C2B4" w:sz="4"/>
          <w:insideH w:val="single" w:color="C9C2B4" w:sz="4"/>
          <w:insideV w:val="single" w:color="C9C2B4" w:sz="4"/>
        </w:tblBorders>
      </w:tblPr>
      <w:tblGrid>
        <w:gridCol w:w="2600"/>
        <w:gridCol w:w="6750"/>
      </w:tblGrid>
      <w:tr>
        <w:trPr>
          <w:cantSplit/>
          <w:tblHeader/>
        </w:trPr>
        <w:tc>
          <w:tcPr>
            <w:tcW w:type="dxa" w:w="26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Principle</w:t>
            </w:r>
          </w:p>
        </w:tc>
        <w:tc>
          <w:tcPr>
            <w:tcW w:type="dxa" w:w="675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EXIT implementation</w:t>
            </w:r>
          </w:p>
        </w:tc>
      </w:tr>
      <w:tr>
        <w:trPr>
          <w:cantSplit/>
        </w:trPr>
        <w:tc>
          <w:tcPr>
            <w:tcW w:type="dxa" w:w="26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Survivor-centred</w:t>
            </w:r>
          </w:p>
        </w:tc>
        <w:tc>
          <w:tcPr>
            <w:tcW w:type="dxa" w:w="67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User chooses needs, plan steps, evidence, sharing, and service pathway</w:t>
            </w:r>
          </w:p>
        </w:tc>
      </w:tr>
      <w:tr>
        <w:trPr>
          <w:cantSplit/>
        </w:trPr>
        <w:tc>
          <w:tcPr>
            <w:tcW w:type="dxa" w:w="26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Do no harm</w:t>
            </w:r>
          </w:p>
        </w:tc>
        <w:tc>
          <w:tcPr>
            <w:tcW w:type="dxa" w:w="67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No forced reporting, no danger prediction, no police automation</w:t>
            </w:r>
          </w:p>
        </w:tc>
      </w:tr>
      <w:tr>
        <w:trPr>
          <w:cantSplit/>
        </w:trPr>
        <w:tc>
          <w:tcPr>
            <w:tcW w:type="dxa" w:w="26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Informed consent</w:t>
            </w:r>
          </w:p>
        </w:tc>
        <w:tc>
          <w:tcPr>
            <w:tcW w:type="dxa" w:w="67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Separate readable consent before any sharing</w:t>
            </w:r>
          </w:p>
        </w:tc>
      </w:tr>
      <w:tr>
        <w:trPr>
          <w:cantSplit/>
        </w:trPr>
        <w:tc>
          <w:tcPr>
            <w:tcW w:type="dxa" w:w="26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Privacy by design</w:t>
            </w:r>
          </w:p>
        </w:tc>
        <w:tc>
          <w:tcPr>
            <w:tcW w:type="dxa" w:w="67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Minimal data, encryption architecture, database separation</w:t>
            </w:r>
          </w:p>
        </w:tc>
      </w:tr>
      <w:tr>
        <w:trPr>
          <w:cantSplit/>
        </w:trPr>
        <w:tc>
          <w:tcPr>
            <w:tcW w:type="dxa" w:w="26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Confidentiality</w:t>
            </w:r>
          </w:p>
        </w:tc>
        <w:tc>
          <w:tcPr>
            <w:tcW w:type="dxa" w:w="67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No public case information; strict access controls</w:t>
            </w:r>
          </w:p>
        </w:tc>
      </w:tr>
      <w:tr>
        <w:trPr>
          <w:cantSplit/>
        </w:trPr>
        <w:tc>
          <w:tcPr>
            <w:tcW w:type="dxa" w:w="26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Data minimization</w:t>
            </w:r>
          </w:p>
        </w:tc>
        <w:tc>
          <w:tcPr>
            <w:tcW w:type="dxa" w:w="67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Collect only fields required for selected functions</w:t>
            </w:r>
          </w:p>
        </w:tc>
      </w:tr>
      <w:tr>
        <w:trPr>
          <w:cantSplit/>
        </w:trPr>
        <w:tc>
          <w:tcPr>
            <w:tcW w:type="dxa" w:w="26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Purpose limitation</w:t>
            </w:r>
          </w:p>
        </w:tc>
        <w:tc>
          <w:tcPr>
            <w:tcW w:type="dxa" w:w="67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Private planning data never becomes observatory data without opt-in</w:t>
            </w:r>
          </w:p>
        </w:tc>
      </w:tr>
      <w:tr>
        <w:trPr>
          <w:cantSplit/>
        </w:trPr>
        <w:tc>
          <w:tcPr>
            <w:tcW w:type="dxa" w:w="26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Safety first</w:t>
            </w:r>
          </w:p>
        </w:tc>
        <w:tc>
          <w:tcPr>
            <w:tcW w:type="dxa" w:w="67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Quiet mode, quick exit, no-notification preference</w:t>
            </w:r>
          </w:p>
        </w:tc>
      </w:tr>
      <w:tr>
        <w:trPr>
          <w:cantSplit/>
        </w:trPr>
        <w:tc>
          <w:tcPr>
            <w:tcW w:type="dxa" w:w="26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Non-discrimination</w:t>
            </w:r>
          </w:p>
        </w:tc>
        <w:tc>
          <w:tcPr>
            <w:tcW w:type="dxa" w:w="67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Accessibility, language support, low-data design</w:t>
            </w:r>
          </w:p>
        </w:tc>
      </w:tr>
      <w:tr>
        <w:trPr>
          <w:cantSplit/>
        </w:trPr>
        <w:tc>
          <w:tcPr>
            <w:tcW w:type="dxa" w:w="26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Accountability</w:t>
            </w:r>
          </w:p>
        </w:tc>
        <w:tc>
          <w:tcPr>
            <w:tcW w:type="dxa" w:w="67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Audit logs, resource verification dates, role-based access</w:t>
            </w:r>
          </w:p>
        </w:tc>
      </w:tr>
      <w:tr>
        <w:trPr>
          <w:cantSplit/>
        </w:trPr>
        <w:tc>
          <w:tcPr>
            <w:tcW w:type="dxa" w:w="26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Human oversight</w:t>
            </w:r>
          </w:p>
        </w:tc>
        <w:tc>
          <w:tcPr>
            <w:tcW w:type="dxa" w:w="67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No autonomous high-stakes decisions; qualified referrals only</w:t>
            </w:r>
          </w:p>
        </w:tc>
      </w:tr>
      <w:tr>
        <w:trPr>
          <w:cantSplit/>
        </w:trPr>
        <w:tc>
          <w:tcPr>
            <w:tcW w:type="dxa" w:w="26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Transparency</w:t>
            </w:r>
          </w:p>
        </w:tc>
        <w:tc>
          <w:tcPr>
            <w:tcW w:type="dxa" w:w="67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Explain what is collected, shared, retained, and not guaranteed</w:t>
            </w:r>
          </w:p>
        </w:tc>
      </w:tr>
    </w:tbl>
    <w:p>
      <w:pPr>
        <w:pBdr>
          <w:left w:val="single" w:color="7A2E2E" w:sz="18" w:space="10"/>
        </w:pBdr>
        <w:spacing w:after="200" w:before="140" w:line="300"/>
        <w:ind w:left="504"/>
      </w:pPr>
      <w:r>
        <w:rPr>
          <w:rFonts w:ascii="Garamond" w:cs="Garamond" w:eastAsia="Garamond" w:hAnsi="Garamond"/>
          <w:i/>
          <w:iCs/>
          <w:color w:val="44403A"/>
          <w:sz w:val="22"/>
          <w:szCs w:val="22"/>
        </w:rPr>
        <w:t xml:space="preserve">UNFPA materials stress that sharing survivor data without informed consent violates GBV principles, and that identifiable information should only be shared in the context of consented referrals.</w:t>
      </w:r>
      <w:r>
        <w:rPr>
          <w:rFonts w:ascii="Garamond" w:cs="Garamond" w:eastAsia="Garamond" w:hAnsi="Garamond"/>
          <w:color w:val="6E6A63"/>
          <w:sz w:val="18"/>
          <w:szCs w:val="18"/>
        </w:rPr>
        <w:t xml:space="preserve">  — UNFPA Philippines</w:t>
      </w:r>
    </w:p>
    <w:p>
      <w:r>
        <w:br w:type="page"/>
      </w:r>
    </w:p>
    <w:p>
      <w:pPr>
        <w:pStyle w:val="Heading1"/>
        <w:pBdr>
          <w:bottom w:val="single" w:color="7A2E2E" w:sz="10" w:space="8"/>
        </w:pBdr>
        <w:spacing w:after="200" w:before="520"/>
      </w:pPr>
      <w:r>
        <w:rPr>
          <w:rFonts w:ascii="Cambria" w:cs="Cambria" w:eastAsia="Cambria" w:hAnsi="Cambria"/>
          <w:b/>
          <w:bCs/>
          <w:color w:val="6E6A63"/>
          <w:sz w:val="26"/>
          <w:szCs w:val="26"/>
        </w:rPr>
        <w:t xml:space="preserve">7  </w:t>
      </w:r>
      <w:r>
        <w:rPr>
          <w:rFonts w:ascii="Cambria" w:cs="Cambria" w:eastAsia="Cambria" w:hAnsi="Cambria"/>
          <w:b/>
          <w:bCs/>
          <w:color w:val="24211C"/>
          <w:spacing w:val="6"/>
          <w:sz w:val="30"/>
          <w:szCs w:val="30"/>
        </w:rPr>
        <w:t xml:space="preserve">Privacy and Human-Rights Alignment</w:t>
      </w:r>
    </w:p>
    <w:p>
      <w:pPr>
        <w:pStyle w:val="Heading2"/>
        <w:spacing w:after="140" w:before="340"/>
      </w:pPr>
      <w:r>
        <w:rPr>
          <w:rFonts w:ascii="Cambria" w:cs="Cambria" w:eastAsia="Cambria" w:hAnsi="Cambria"/>
          <w:b/>
          <w:bCs/>
          <w:color w:val="7A2E2E"/>
          <w:sz w:val="24"/>
          <w:szCs w:val="24"/>
        </w:rPr>
        <w:t xml:space="preserve">Consent model</w:t>
      </w:r>
    </w:p>
    <w:p>
      <w:pPr>
        <w:spacing w:after="160" w:line="300"/>
        <w:jc w:val="left"/>
      </w:pPr>
      <w:r>
        <w:rPr>
          <w:rFonts w:ascii="Garamond" w:cs="Garamond" w:eastAsia="Garamond" w:hAnsi="Garamond"/>
          <w:color w:val="24211C"/>
          <w:sz w:val="22"/>
          <w:szCs w:val="22"/>
        </w:rPr>
        <w:t xml:space="preserve">The default must always be:</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Keep everything private.</w:t>
      </w:r>
    </w:p>
    <w:p>
      <w:pPr>
        <w:spacing w:after="160" w:line="300"/>
        <w:jc w:val="left"/>
      </w:pPr>
      <w:r>
        <w:rPr>
          <w:rFonts w:ascii="Garamond" w:cs="Garamond" w:eastAsia="Garamond" w:hAnsi="Garamond"/>
          <w:color w:val="24211C"/>
          <w:sz w:val="22"/>
          <w:szCs w:val="22"/>
        </w:rPr>
        <w:t xml:space="preserve">The user can separately choose:</w:t>
      </w:r>
    </w:p>
    <w:p>
      <w:pPr>
        <w:pStyle w:val="ListParagraph"/>
        <w:numPr>
          <w:ilvl w:val="0"/>
          <w:numId w:val="2"/>
        </w:numPr>
        <w:spacing w:after="90"/>
      </w:pPr>
      <w:r>
        <w:rPr>
          <w:rFonts w:ascii="Garamond" w:cs="Garamond" w:eastAsia="Garamond" w:hAnsi="Garamond"/>
          <w:color w:val="24211C"/>
          <w:sz w:val="22"/>
          <w:szCs w:val="22"/>
        </w:rPr>
        <w:t xml:space="preserve">Share nothing</w:t>
      </w:r>
    </w:p>
    <w:p>
      <w:pPr>
        <w:pStyle w:val="ListParagraph"/>
        <w:numPr>
          <w:ilvl w:val="0"/>
          <w:numId w:val="2"/>
        </w:numPr>
        <w:spacing w:after="90"/>
      </w:pPr>
      <w:r>
        <w:rPr>
          <w:rFonts w:ascii="Garamond" w:cs="Garamond" w:eastAsia="Garamond" w:hAnsi="Garamond"/>
          <w:color w:val="24211C"/>
          <w:sz w:val="22"/>
          <w:szCs w:val="22"/>
        </w:rPr>
        <w:t xml:space="preserve">Share anonymous category only</w:t>
      </w:r>
    </w:p>
    <w:p>
      <w:pPr>
        <w:pStyle w:val="ListParagraph"/>
        <w:numPr>
          <w:ilvl w:val="0"/>
          <w:numId w:val="2"/>
        </w:numPr>
        <w:spacing w:after="90"/>
      </w:pPr>
      <w:r>
        <w:rPr>
          <w:rFonts w:ascii="Garamond" w:cs="Garamond" w:eastAsia="Garamond" w:hAnsi="Garamond"/>
          <w:color w:val="24211C"/>
          <w:sz w:val="22"/>
          <w:szCs w:val="22"/>
        </w:rPr>
        <w:t xml:space="preserve">Share category and broad country</w:t>
      </w:r>
    </w:p>
    <w:p>
      <w:pPr>
        <w:pStyle w:val="ListParagraph"/>
        <w:numPr>
          <w:ilvl w:val="0"/>
          <w:numId w:val="2"/>
        </w:numPr>
        <w:spacing w:after="90"/>
      </w:pPr>
      <w:r>
        <w:rPr>
          <w:rFonts w:ascii="Garamond" w:cs="Garamond" w:eastAsia="Garamond" w:hAnsi="Garamond"/>
          <w:color w:val="24211C"/>
          <w:sz w:val="22"/>
          <w:szCs w:val="22"/>
        </w:rPr>
        <w:t xml:space="preserve">Share category and city / district</w:t>
      </w:r>
    </w:p>
    <w:p>
      <w:pPr>
        <w:pStyle w:val="ListParagraph"/>
        <w:numPr>
          <w:ilvl w:val="0"/>
          <w:numId w:val="2"/>
        </w:numPr>
        <w:spacing w:after="90"/>
      </w:pPr>
      <w:r>
        <w:rPr>
          <w:rFonts w:ascii="Garamond" w:cs="Garamond" w:eastAsia="Garamond" w:hAnsi="Garamond"/>
          <w:color w:val="24211C"/>
          <w:sz w:val="22"/>
          <w:szCs w:val="22"/>
        </w:rPr>
        <w:t xml:space="preserve">Share category and month / week</w:t>
      </w:r>
    </w:p>
    <w:p>
      <w:pPr>
        <w:pStyle w:val="ListParagraph"/>
        <w:numPr>
          <w:ilvl w:val="0"/>
          <w:numId w:val="2"/>
        </w:numPr>
        <w:spacing w:after="90"/>
      </w:pPr>
      <w:r>
        <w:rPr>
          <w:rFonts w:ascii="Garamond" w:cs="Garamond" w:eastAsia="Garamond" w:hAnsi="Garamond"/>
          <w:color w:val="24211C"/>
          <w:sz w:val="22"/>
          <w:szCs w:val="22"/>
        </w:rPr>
        <w:t xml:space="preserve">Share an evidence packet only with a named, user-approved recipient</w:t>
      </w:r>
    </w:p>
    <w:p>
      <w:pPr>
        <w:pStyle w:val="ListParagraph"/>
        <w:numPr>
          <w:ilvl w:val="0"/>
          <w:numId w:val="2"/>
        </w:numPr>
        <w:spacing w:after="90"/>
      </w:pPr>
      <w:r>
        <w:rPr>
          <w:rFonts w:ascii="Garamond" w:cs="Garamond" w:eastAsia="Garamond" w:hAnsi="Garamond"/>
          <w:color w:val="24211C"/>
          <w:sz w:val="22"/>
          <w:szCs w:val="22"/>
        </w:rPr>
        <w:t xml:space="preserve">Withdraw future contributions</w:t>
      </w:r>
    </w:p>
    <w:p>
      <w:pPr>
        <w:pStyle w:val="Heading2"/>
        <w:spacing w:after="140" w:before="340"/>
      </w:pPr>
      <w:r>
        <w:rPr>
          <w:rFonts w:ascii="Cambria" w:cs="Cambria" w:eastAsia="Cambria" w:hAnsi="Cambria"/>
          <w:b/>
          <w:bCs/>
          <w:color w:val="7A2E2E"/>
          <w:sz w:val="24"/>
          <w:szCs w:val="24"/>
        </w:rPr>
        <w:t xml:space="preserve">Data isolation</w:t>
      </w:r>
    </w:p>
    <w:tbl>
      <w:tblPr>
        <w:tblW w:type="dxa" w:w="9350"/>
        <w:tblBorders>
          <w:top w:val="single" w:color="C9C2B4" w:sz="4"/>
          <w:left w:val="single" w:color="C9C2B4" w:sz="4"/>
          <w:bottom w:val="single" w:color="C9C2B4" w:sz="4"/>
          <w:right w:val="single" w:color="C9C2B4" w:sz="4"/>
          <w:insideH w:val="single" w:color="C9C2B4" w:sz="4"/>
          <w:insideV w:val="single" w:color="C9C2B4" w:sz="4"/>
        </w:tblBorders>
      </w:tblPr>
      <w:tblGrid>
        <w:gridCol w:w="2650"/>
        <w:gridCol w:w="3450"/>
        <w:gridCol w:w="3250"/>
      </w:tblGrid>
      <w:tr>
        <w:trPr>
          <w:cantSplit/>
          <w:tblHeader/>
        </w:trPr>
        <w:tc>
          <w:tcPr>
            <w:tcW w:type="dxa" w:w="265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Data set</w:t>
            </w:r>
          </w:p>
        </w:tc>
        <w:tc>
          <w:tcPr>
            <w:tcW w:type="dxa" w:w="345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Contains</w:t>
            </w:r>
          </w:p>
        </w:tc>
        <w:tc>
          <w:tcPr>
            <w:tcW w:type="dxa" w:w="325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Cannot be accessed by</w:t>
            </w:r>
          </w:p>
        </w:tc>
      </w:tr>
      <w:tr>
        <w:trPr>
          <w:cantSplit/>
        </w:trPr>
        <w:tc>
          <w:tcPr>
            <w:tcW w:type="dxa" w:w="26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EXIT private plan</w:t>
            </w:r>
          </w:p>
        </w:tc>
        <w:tc>
          <w:tcPr>
            <w:tcW w:type="dxa" w:w="34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Readiness items, personal action plan</w:t>
            </w:r>
          </w:p>
        </w:tc>
        <w:tc>
          <w:tcPr>
            <w:tcW w:type="dxa" w:w="32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LIVEGENDER, public users, advertisers</w:t>
            </w:r>
          </w:p>
        </w:tc>
      </w:tr>
      <w:tr>
        <w:trPr>
          <w:cantSplit/>
        </w:trPr>
        <w:tc>
          <w:tcPr>
            <w:tcW w:type="dxa" w:w="26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AegisVault</w:t>
            </w:r>
          </w:p>
        </w:tc>
        <w:tc>
          <w:tcPr>
            <w:tcW w:type="dxa" w:w="34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Selected evidence and timeline</w:t>
            </w:r>
          </w:p>
        </w:tc>
        <w:tc>
          <w:tcPr>
            <w:tcW w:type="dxa" w:w="32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LIVEGENDER, other users, public dashboard</w:t>
            </w:r>
          </w:p>
        </w:tc>
      </w:tr>
      <w:tr>
        <w:trPr>
          <w:cantSplit/>
        </w:trPr>
        <w:tc>
          <w:tcPr>
            <w:tcW w:type="dxa" w:w="26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Consent ledger</w:t>
            </w:r>
          </w:p>
        </w:tc>
        <w:tc>
          <w:tcPr>
            <w:tcW w:type="dxa" w:w="34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What the user agreed to share</w:t>
            </w:r>
          </w:p>
        </w:tc>
        <w:tc>
          <w:tcPr>
            <w:tcW w:type="dxa" w:w="32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Unverified partners</w:t>
            </w:r>
          </w:p>
        </w:tc>
      </w:tr>
      <w:tr>
        <w:trPr>
          <w:cantSplit/>
        </w:trPr>
        <w:tc>
          <w:tcPr>
            <w:tcW w:type="dxa" w:w="26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LIVEGENDER aggregate store</w:t>
            </w:r>
          </w:p>
        </w:tc>
        <w:tc>
          <w:tcPr>
            <w:tcW w:type="dxa" w:w="34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De-identified category, broad geography, broad time</w:t>
            </w:r>
          </w:p>
        </w:tc>
        <w:tc>
          <w:tcPr>
            <w:tcW w:type="dxa" w:w="32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Anyone seeking case-level identity</w:t>
            </w:r>
          </w:p>
        </w:tc>
      </w:tr>
      <w:tr>
        <w:trPr>
          <w:cantSplit/>
        </w:trPr>
        <w:tc>
          <w:tcPr>
            <w:tcW w:type="dxa" w:w="26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Resource directory</w:t>
            </w:r>
          </w:p>
        </w:tc>
        <w:tc>
          <w:tcPr>
            <w:tcW w:type="dxa" w:w="34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Verified service details</w:t>
            </w:r>
          </w:p>
        </w:tc>
        <w:tc>
          <w:tcPr>
            <w:tcW w:type="dxa" w:w="32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Cannot reveal survivor data</w:t>
            </w:r>
          </w:p>
        </w:tc>
      </w:tr>
    </w:tbl>
    <w:p>
      <w:pPr>
        <w:pStyle w:val="Heading2"/>
        <w:spacing w:after="140" w:before="340"/>
      </w:pPr>
      <w:r>
        <w:rPr>
          <w:rFonts w:ascii="Cambria" w:cs="Cambria" w:eastAsia="Cambria" w:hAnsi="Cambria"/>
          <w:b/>
          <w:bCs/>
          <w:color w:val="7A2E2E"/>
          <w:sz w:val="24"/>
          <w:szCs w:val="24"/>
        </w:rPr>
        <w:t xml:space="preserve">Privacy threshold</w:t>
      </w:r>
    </w:p>
    <w:p>
      <w:pPr>
        <w:spacing w:after="160" w:line="300"/>
        <w:jc w:val="left"/>
      </w:pPr>
      <w:r>
        <w:rPr>
          <w:rFonts w:ascii="Garamond" w:cs="Garamond" w:eastAsia="Garamond" w:hAnsi="Garamond"/>
          <w:color w:val="24211C"/>
          <w:sz w:val="22"/>
          <w:szCs w:val="22"/>
        </w:rPr>
        <w:t xml:space="preserve">Use:</w:t>
      </w:r>
    </w:p>
    <w:tbl>
      <w:tblPr>
        <w:tblW w:type="pct" w:w="100%"/>
        <w:tblBorders>
          <w:top w:val="single" w:color="C9C2B4" w:sz="6"/>
          <w:left w:val="single" w:color="C9C2B4" w:sz="6"/>
          <w:bottom w:val="single" w:color="C9C2B4" w:sz="6"/>
          <w:right w:val="single" w:color="C9C2B4" w:sz="6"/>
          <w:insideH w:val="none" w:color="FFFFFF" w:sz="0"/>
          <w:insideV w:val="none" w:color="FFFFFF" w:sz="0"/>
        </w:tblBorders>
      </w:tblPr>
      <w:tblGrid>
        <w:gridCol w:w="100"/>
      </w:tblGrid>
      <w:tr>
        <w:tc>
          <w:tcPr>
            <w:shd w:fill="FBF9F3" w:color="auto" w:val="clear"/>
            <w:tcMar>
              <w:top w:type="dxa" w:w="200"/>
              <w:left w:type="dxa" w:w="300"/>
              <w:bottom w:type="dxa" w:w="200"/>
              <w:right w:type="dxa" w:w="300"/>
            </w:tcMar>
          </w:tcPr>
          <w:p>
            <w:pPr>
              <w:spacing w:after="0"/>
              <w:jc w:val="center"/>
            </w:pPr>
            <w:r>
              <w:rPr>
                <w:rFonts w:ascii="Consolas" w:cs="Consolas" w:eastAsia="Consolas" w:hAnsi="Consolas"/>
                <w:b/>
                <w:bCs/>
                <w:color w:val="2F4B3C"/>
                <w:sz w:val="20"/>
                <w:szCs w:val="20"/>
              </w:rPr>
              <w:t xml:space="preserve">k  ≥  10</w:t>
            </w:r>
          </w:p>
        </w:tc>
      </w:tr>
    </w:tbl>
    <w:p>
      <w:pPr>
        <w:spacing w:after="160" w:line="300"/>
        <w:jc w:val="left"/>
      </w:pPr>
      <w:r>
        <w:rPr>
          <w:rFonts w:ascii="Garamond" w:cs="Garamond" w:eastAsia="Garamond" w:hAnsi="Garamond"/>
          <w:color w:val="24211C"/>
          <w:sz w:val="22"/>
          <w:szCs w:val="22"/>
        </w:rPr>
        <w:t xml:space="preserve"/>
      </w:r>
    </w:p>
    <w:p>
      <w:pPr>
        <w:spacing w:after="160" w:line="300"/>
        <w:jc w:val="left"/>
      </w:pPr>
      <w:r>
        <w:rPr>
          <w:rFonts w:ascii="Garamond" w:cs="Garamond" w:eastAsia="Garamond" w:hAnsi="Garamond"/>
          <w:color w:val="24211C"/>
          <w:sz w:val="22"/>
          <w:szCs w:val="22"/>
        </w:rPr>
        <w:t xml:space="preserve">Do not display any locality / category / time total unless at least 10 sufficiently independent, anonymous contributions are represented. If the count is below this threshold:</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Insufficient data to display safely.</w:t>
      </w:r>
    </w:p>
    <w:p>
      <w:pPr>
        <w:pStyle w:val="Heading2"/>
        <w:spacing w:after="140" w:before="340"/>
      </w:pPr>
      <w:r>
        <w:rPr>
          <w:rFonts w:ascii="Cambria" w:cs="Cambria" w:eastAsia="Cambria" w:hAnsi="Cambria"/>
          <w:b/>
          <w:bCs/>
          <w:color w:val="7A2E2E"/>
          <w:sz w:val="24"/>
          <w:szCs w:val="24"/>
        </w:rPr>
        <w:t xml:space="preserve">Geographic and temporal limits</w:t>
      </w:r>
    </w:p>
    <w:p>
      <w:pPr>
        <w:spacing w:after="160" w:line="300"/>
        <w:jc w:val="left"/>
      </w:pPr>
      <w:r>
        <w:rPr>
          <w:rFonts w:ascii="Garamond" w:cs="Garamond" w:eastAsia="Garamond" w:hAnsi="Garamond"/>
          <w:b/>
          <w:bCs/>
          <w:sz w:val="22"/>
          <w:szCs w:val="22"/>
        </w:rPr>
        <w:t xml:space="preserve">Allowed: </w:t>
      </w:r>
      <w:r>
        <w:rPr>
          <w:rFonts w:ascii="Garamond" w:cs="Garamond" w:eastAsia="Garamond" w:hAnsi="Garamond"/>
          <w:sz w:val="22"/>
          <w:szCs w:val="22"/>
        </w:rPr>
        <w:t xml:space="preserve">country; state / province, where safe; city / district; month or week.</w:t>
      </w:r>
    </w:p>
    <w:p>
      <w:pPr>
        <w:spacing w:after="160" w:line="300"/>
        <w:jc w:val="left"/>
      </w:pPr>
      <w:r>
        <w:rPr>
          <w:rFonts w:ascii="Garamond" w:cs="Garamond" w:eastAsia="Garamond" w:hAnsi="Garamond"/>
          <w:b/>
          <w:bCs/>
          <w:sz w:val="22"/>
          <w:szCs w:val="22"/>
        </w:rPr>
        <w:t xml:space="preserve">Forbidden: </w:t>
      </w:r>
      <w:r>
        <w:rPr>
          <w:rFonts w:ascii="Garamond" w:cs="Garamond" w:eastAsia="Garamond" w:hAnsi="Garamond"/>
          <w:sz w:val="22"/>
          <w:szCs w:val="22"/>
        </w:rPr>
        <w:t xml:space="preserve">GPS coordinates; street / ward / building; workplace, hostel, school, college, or shelter; exact date / time; travel route; trusted meeting point.</w:t>
      </w:r>
    </w:p>
    <w:p>
      <w:pPr>
        <w:pStyle w:val="Heading2"/>
        <w:spacing w:after="140" w:before="340"/>
      </w:pPr>
      <w:r>
        <w:rPr>
          <w:rFonts w:ascii="Cambria" w:cs="Cambria" w:eastAsia="Cambria" w:hAnsi="Cambria"/>
          <w:b/>
          <w:bCs/>
          <w:color w:val="7A2E2E"/>
          <w:sz w:val="24"/>
          <w:szCs w:val="24"/>
        </w:rPr>
        <w:t xml:space="preserve">Differential privacy concept</w:t>
      </w:r>
    </w:p>
    <w:p>
      <w:pPr>
        <w:spacing w:after="160" w:line="300"/>
        <w:jc w:val="left"/>
      </w:pPr>
      <w:r>
        <w:rPr>
          <w:rFonts w:ascii="Garamond" w:cs="Garamond" w:eastAsia="Garamond" w:hAnsi="Garamond"/>
          <w:color w:val="24211C"/>
          <w:sz w:val="22"/>
          <w:szCs w:val="22"/>
        </w:rPr>
        <w:t xml:space="preserve">For future deployment:</w:t>
      </w:r>
    </w:p>
    <w:tbl>
      <w:tblPr>
        <w:tblW w:type="pct" w:w="100%"/>
        <w:tblBorders>
          <w:top w:val="single" w:color="C9C2B4" w:sz="6"/>
          <w:left w:val="single" w:color="C9C2B4" w:sz="6"/>
          <w:bottom w:val="single" w:color="C9C2B4" w:sz="6"/>
          <w:right w:val="single" w:color="C9C2B4" w:sz="6"/>
          <w:insideH w:val="none" w:color="FFFFFF" w:sz="0"/>
          <w:insideV w:val="none" w:color="FFFFFF" w:sz="0"/>
        </w:tblBorders>
      </w:tblPr>
      <w:tblGrid>
        <w:gridCol w:w="100"/>
      </w:tblGrid>
      <w:tr>
        <w:tc>
          <w:tcPr>
            <w:shd w:fill="FBF9F3" w:color="auto" w:val="clear"/>
            <w:tcMar>
              <w:top w:type="dxa" w:w="200"/>
              <w:left w:type="dxa" w:w="300"/>
              <w:bottom w:type="dxa" w:w="200"/>
              <w:right w:type="dxa" w:w="300"/>
            </w:tcMar>
          </w:tcPr>
          <w:p>
            <w:pPr>
              <w:spacing w:after="0"/>
              <w:jc w:val="center"/>
            </w:pPr>
            <w:r>
              <w:rPr>
                <w:rFonts w:ascii="Consolas" w:cs="Consolas" w:eastAsia="Consolas" w:hAnsi="Consolas"/>
                <w:b/>
                <w:bCs/>
                <w:color w:val="2F4B3C"/>
                <w:sz w:val="20"/>
                <w:szCs w:val="20"/>
              </w:rPr>
              <w:t xml:space="preserve">Protected displayed count  =  True aggregate count  +  Controlled statistical noise</w:t>
            </w:r>
          </w:p>
        </w:tc>
      </w:tr>
    </w:tbl>
    <w:p>
      <w:pPr>
        <w:spacing w:after="160" w:line="300"/>
        <w:jc w:val="left"/>
      </w:pPr>
      <w:r>
        <w:rPr>
          <w:rFonts w:ascii="Garamond" w:cs="Garamond" w:eastAsia="Garamond" w:hAnsi="Garamond"/>
          <w:color w:val="24211C"/>
          <w:sz w:val="22"/>
          <w:szCs w:val="22"/>
        </w:rPr>
        <w:t xml:space="preserve"/>
      </w:r>
    </w:p>
    <w:p>
      <w:pPr>
        <w:spacing w:after="160" w:line="300"/>
        <w:jc w:val="left"/>
      </w:pPr>
      <w:r>
        <w:rPr>
          <w:rFonts w:ascii="Garamond" w:cs="Garamond" w:eastAsia="Garamond" w:hAnsi="Garamond"/>
          <w:color w:val="24211C"/>
          <w:sz w:val="22"/>
          <w:szCs w:val="22"/>
        </w:rPr>
        <w:t xml:space="preserve">This protects against someone inferring whether one specific survivor contributed. In a hackathon, present it as a simulated privacy mechanism, not production-grade differential privacy.</w:t>
      </w:r>
    </w:p>
    <w:p>
      <w:pPr>
        <w:pStyle w:val="Heading1"/>
        <w:pBdr>
          <w:bottom w:val="single" w:color="7A2E2E" w:sz="10" w:space="8"/>
        </w:pBdr>
        <w:spacing w:after="200" w:before="520"/>
      </w:pPr>
      <w:r>
        <w:rPr>
          <w:rFonts w:ascii="Cambria" w:cs="Cambria" w:eastAsia="Cambria" w:hAnsi="Cambria"/>
          <w:b/>
          <w:bCs/>
          <w:color w:val="6E6A63"/>
          <w:sz w:val="26"/>
          <w:szCs w:val="26"/>
        </w:rPr>
        <w:t xml:space="preserve">8  </w:t>
      </w:r>
      <w:r>
        <w:rPr>
          <w:rFonts w:ascii="Cambria" w:cs="Cambria" w:eastAsia="Cambria" w:hAnsi="Cambria"/>
          <w:b/>
          <w:bCs/>
          <w:color w:val="24211C"/>
          <w:spacing w:val="6"/>
          <w:sz w:val="30"/>
          <w:szCs w:val="30"/>
        </w:rPr>
        <w:t xml:space="preserve">UN-Aligned Global Operating Model</w:t>
      </w:r>
    </w:p>
    <w:p>
      <w:pPr>
        <w:spacing w:after="160" w:line="300"/>
        <w:jc w:val="left"/>
      </w:pPr>
      <w:r>
        <w:rPr>
          <w:rFonts w:ascii="Garamond" w:cs="Garamond" w:eastAsia="Garamond" w:hAnsi="Garamond"/>
          <w:color w:val="24211C"/>
          <w:sz w:val="22"/>
          <w:szCs w:val="22"/>
        </w:rPr>
        <w:t xml:space="preserve">EXIT can be designed globally, but it must never pretend that a single company can safely know every local condition worldwide. Use this statement:</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EXIT is a global platform with a common survivor-safety standard and a locally verified support-infrastructure layer.</w:t>
      </w:r>
    </w:p>
    <w:p>
      <w:pPr>
        <w:pStyle w:val="Heading2"/>
        <w:spacing w:after="140" w:before="340"/>
      </w:pPr>
      <w:r>
        <w:rPr>
          <w:rFonts w:ascii="Cambria" w:cs="Cambria" w:eastAsia="Cambria" w:hAnsi="Cambria"/>
          <w:b/>
          <w:bCs/>
          <w:color w:val="7A2E2E"/>
          <w:sz w:val="24"/>
          <w:szCs w:val="24"/>
        </w:rPr>
        <w:t xml:space="preserve">Global standard</w:t>
      </w:r>
    </w:p>
    <w:p>
      <w:pPr>
        <w:pStyle w:val="ListParagraph"/>
        <w:numPr>
          <w:ilvl w:val="0"/>
          <w:numId w:val="2"/>
        </w:numPr>
        <w:spacing w:after="90"/>
      </w:pPr>
      <w:r>
        <w:rPr>
          <w:rFonts w:ascii="Garamond" w:cs="Garamond" w:eastAsia="Garamond" w:hAnsi="Garamond"/>
          <w:color w:val="24211C"/>
          <w:sz w:val="22"/>
          <w:szCs w:val="22"/>
        </w:rPr>
        <w:t xml:space="preserve">Common privacy / safety architecture</w:t>
      </w:r>
    </w:p>
    <w:p>
      <w:pPr>
        <w:pStyle w:val="ListParagraph"/>
        <w:numPr>
          <w:ilvl w:val="0"/>
          <w:numId w:val="2"/>
        </w:numPr>
        <w:spacing w:after="90"/>
      </w:pPr>
      <w:r>
        <w:rPr>
          <w:rFonts w:ascii="Garamond" w:cs="Garamond" w:eastAsia="Garamond" w:hAnsi="Garamond"/>
          <w:color w:val="24211C"/>
          <w:sz w:val="22"/>
          <w:szCs w:val="22"/>
        </w:rPr>
        <w:t xml:space="preserve">Common controlled TF-VAWG taxonomy</w:t>
      </w:r>
    </w:p>
    <w:p>
      <w:pPr>
        <w:pStyle w:val="ListParagraph"/>
        <w:numPr>
          <w:ilvl w:val="0"/>
          <w:numId w:val="2"/>
        </w:numPr>
        <w:spacing w:after="90"/>
      </w:pPr>
      <w:r>
        <w:rPr>
          <w:rFonts w:ascii="Garamond" w:cs="Garamond" w:eastAsia="Garamond" w:hAnsi="Garamond"/>
          <w:color w:val="24211C"/>
          <w:sz w:val="22"/>
          <w:szCs w:val="22"/>
        </w:rPr>
        <w:t xml:space="preserve">Common consent and audit model</w:t>
      </w:r>
    </w:p>
    <w:p>
      <w:pPr>
        <w:pStyle w:val="ListParagraph"/>
        <w:numPr>
          <w:ilvl w:val="0"/>
          <w:numId w:val="2"/>
        </w:numPr>
        <w:spacing w:after="90"/>
      </w:pPr>
      <w:r>
        <w:rPr>
          <w:rFonts w:ascii="Garamond" w:cs="Garamond" w:eastAsia="Garamond" w:hAnsi="Garamond"/>
          <w:color w:val="24211C"/>
          <w:sz w:val="22"/>
          <w:szCs w:val="22"/>
        </w:rPr>
        <w:t xml:space="preserve">Minimum security baseline</w:t>
      </w:r>
    </w:p>
    <w:p>
      <w:pPr>
        <w:pStyle w:val="ListParagraph"/>
        <w:numPr>
          <w:ilvl w:val="0"/>
          <w:numId w:val="2"/>
        </w:numPr>
        <w:spacing w:after="90"/>
      </w:pPr>
      <w:r>
        <w:rPr>
          <w:rFonts w:ascii="Garamond" w:cs="Garamond" w:eastAsia="Garamond" w:hAnsi="Garamond"/>
          <w:color w:val="24211C"/>
          <w:sz w:val="22"/>
          <w:szCs w:val="22"/>
        </w:rPr>
        <w:t xml:space="preserve">Global accessibility principles</w:t>
      </w:r>
    </w:p>
    <w:p>
      <w:pPr>
        <w:pStyle w:val="ListParagraph"/>
        <w:numPr>
          <w:ilvl w:val="0"/>
          <w:numId w:val="2"/>
        </w:numPr>
        <w:spacing w:after="90"/>
      </w:pPr>
      <w:r>
        <w:rPr>
          <w:rFonts w:ascii="Garamond" w:cs="Garamond" w:eastAsia="Garamond" w:hAnsi="Garamond"/>
          <w:color w:val="24211C"/>
          <w:sz w:val="22"/>
          <w:szCs w:val="22"/>
        </w:rPr>
        <w:t xml:space="preserve">Standard data schema</w:t>
      </w:r>
    </w:p>
    <w:p>
      <w:pPr>
        <w:pStyle w:val="ListParagraph"/>
        <w:numPr>
          <w:ilvl w:val="0"/>
          <w:numId w:val="2"/>
        </w:numPr>
        <w:spacing w:after="90"/>
      </w:pPr>
      <w:r>
        <w:rPr>
          <w:rFonts w:ascii="Garamond" w:cs="Garamond" w:eastAsia="Garamond" w:hAnsi="Garamond"/>
          <w:color w:val="24211C"/>
          <w:sz w:val="22"/>
          <w:szCs w:val="22"/>
        </w:rPr>
        <w:t xml:space="preserve">Strict no-surveillance policy</w:t>
      </w:r>
    </w:p>
    <w:p>
      <w:pPr>
        <w:pStyle w:val="ListParagraph"/>
        <w:numPr>
          <w:ilvl w:val="0"/>
          <w:numId w:val="2"/>
        </w:numPr>
        <w:spacing w:after="90"/>
      </w:pPr>
      <w:r>
        <w:rPr>
          <w:rFonts w:ascii="Garamond" w:cs="Garamond" w:eastAsia="Garamond" w:hAnsi="Garamond"/>
          <w:color w:val="24211C"/>
          <w:sz w:val="22"/>
          <w:szCs w:val="22"/>
        </w:rPr>
        <w:t xml:space="preserve">No advertising / data monetization</w:t>
      </w:r>
    </w:p>
    <w:p>
      <w:pPr>
        <w:pStyle w:val="ListParagraph"/>
        <w:numPr>
          <w:ilvl w:val="0"/>
          <w:numId w:val="2"/>
        </w:numPr>
        <w:spacing w:after="90"/>
      </w:pPr>
      <w:r>
        <w:rPr>
          <w:rFonts w:ascii="Garamond" w:cs="Garamond" w:eastAsia="Garamond" w:hAnsi="Garamond"/>
          <w:color w:val="24211C"/>
          <w:sz w:val="22"/>
          <w:szCs w:val="22"/>
        </w:rPr>
        <w:t xml:space="preserve">Independent ethics and safeguarding review</w:t>
      </w:r>
    </w:p>
    <w:p>
      <w:pPr>
        <w:pStyle w:val="Heading2"/>
        <w:spacing w:after="140" w:before="340"/>
      </w:pPr>
      <w:r>
        <w:rPr>
          <w:rFonts w:ascii="Cambria" w:cs="Cambria" w:eastAsia="Cambria" w:hAnsi="Cambria"/>
          <w:b/>
          <w:bCs/>
          <w:color w:val="7A2E2E"/>
          <w:sz w:val="24"/>
          <w:szCs w:val="24"/>
        </w:rPr>
        <w:t xml:space="preserve">Local adaptation</w:t>
      </w:r>
    </w:p>
    <w:p>
      <w:pPr>
        <w:pStyle w:val="ListParagraph"/>
        <w:numPr>
          <w:ilvl w:val="0"/>
          <w:numId w:val="2"/>
        </w:numPr>
        <w:spacing w:after="90"/>
      </w:pPr>
      <w:r>
        <w:rPr>
          <w:rFonts w:ascii="Garamond" w:cs="Garamond" w:eastAsia="Garamond" w:hAnsi="Garamond"/>
          <w:color w:val="24211C"/>
          <w:sz w:val="22"/>
          <w:szCs w:val="22"/>
        </w:rPr>
        <w:t xml:space="preserve">Local emergency pathways</w:t>
      </w:r>
    </w:p>
    <w:p>
      <w:pPr>
        <w:pStyle w:val="ListParagraph"/>
        <w:numPr>
          <w:ilvl w:val="0"/>
          <w:numId w:val="2"/>
        </w:numPr>
        <w:spacing w:after="90"/>
      </w:pPr>
      <w:r>
        <w:rPr>
          <w:rFonts w:ascii="Garamond" w:cs="Garamond" w:eastAsia="Garamond" w:hAnsi="Garamond"/>
          <w:color w:val="24211C"/>
          <w:sz w:val="22"/>
          <w:szCs w:val="22"/>
        </w:rPr>
        <w:t xml:space="preserve">Local legal-aid and justice pathways</w:t>
      </w:r>
    </w:p>
    <w:p>
      <w:pPr>
        <w:pStyle w:val="ListParagraph"/>
        <w:numPr>
          <w:ilvl w:val="0"/>
          <w:numId w:val="2"/>
        </w:numPr>
        <w:spacing w:after="90"/>
      </w:pPr>
      <w:r>
        <w:rPr>
          <w:rFonts w:ascii="Garamond" w:cs="Garamond" w:eastAsia="Garamond" w:hAnsi="Garamond"/>
          <w:color w:val="24211C"/>
          <w:sz w:val="22"/>
          <w:szCs w:val="22"/>
        </w:rPr>
        <w:t xml:space="preserve">Verified health, shelter, counselling, and NGO services</w:t>
      </w:r>
    </w:p>
    <w:p>
      <w:pPr>
        <w:pStyle w:val="ListParagraph"/>
        <w:numPr>
          <w:ilvl w:val="0"/>
          <w:numId w:val="2"/>
        </w:numPr>
        <w:spacing w:after="90"/>
      </w:pPr>
      <w:r>
        <w:rPr>
          <w:rFonts w:ascii="Garamond" w:cs="Garamond" w:eastAsia="Garamond" w:hAnsi="Garamond"/>
          <w:color w:val="24211C"/>
          <w:sz w:val="22"/>
          <w:szCs w:val="22"/>
        </w:rPr>
        <w:t xml:space="preserve">Language / script support</w:t>
      </w:r>
    </w:p>
    <w:p>
      <w:pPr>
        <w:pStyle w:val="ListParagraph"/>
        <w:numPr>
          <w:ilvl w:val="0"/>
          <w:numId w:val="2"/>
        </w:numPr>
        <w:spacing w:after="90"/>
      </w:pPr>
      <w:r>
        <w:rPr>
          <w:rFonts w:ascii="Garamond" w:cs="Garamond" w:eastAsia="Garamond" w:hAnsi="Garamond"/>
          <w:color w:val="24211C"/>
          <w:sz w:val="22"/>
          <w:szCs w:val="22"/>
        </w:rPr>
        <w:t xml:space="preserve">Disability-access review</w:t>
      </w:r>
    </w:p>
    <w:p>
      <w:pPr>
        <w:pStyle w:val="ListParagraph"/>
        <w:numPr>
          <w:ilvl w:val="0"/>
          <w:numId w:val="2"/>
        </w:numPr>
        <w:spacing w:after="90"/>
      </w:pPr>
      <w:r>
        <w:rPr>
          <w:rFonts w:ascii="Garamond" w:cs="Garamond" w:eastAsia="Garamond" w:hAnsi="Garamond"/>
          <w:color w:val="24211C"/>
          <w:sz w:val="22"/>
          <w:szCs w:val="22"/>
        </w:rPr>
        <w:t xml:space="preserve">Country-specific legal and data-protection review</w:t>
      </w:r>
    </w:p>
    <w:p>
      <w:pPr>
        <w:pStyle w:val="ListParagraph"/>
        <w:numPr>
          <w:ilvl w:val="0"/>
          <w:numId w:val="2"/>
        </w:numPr>
        <w:spacing w:after="90"/>
      </w:pPr>
      <w:r>
        <w:rPr>
          <w:rFonts w:ascii="Garamond" w:cs="Garamond" w:eastAsia="Garamond" w:hAnsi="Garamond"/>
          <w:color w:val="24211C"/>
          <w:sz w:val="22"/>
          <w:szCs w:val="22"/>
        </w:rPr>
        <w:t xml:space="preserve">Local survivor-support and safeguarding partner</w:t>
      </w:r>
    </w:p>
    <w:p>
      <w:pPr>
        <w:pStyle w:val="ListParagraph"/>
        <w:numPr>
          <w:ilvl w:val="0"/>
          <w:numId w:val="2"/>
        </w:numPr>
        <w:spacing w:after="90"/>
      </w:pPr>
      <w:r>
        <w:rPr>
          <w:rFonts w:ascii="Garamond" w:cs="Garamond" w:eastAsia="Garamond" w:hAnsi="Garamond"/>
          <w:color w:val="24211C"/>
          <w:sz w:val="22"/>
          <w:szCs w:val="22"/>
        </w:rPr>
        <w:t xml:space="preserve">Local resource-directory verification</w:t>
      </w:r>
    </w:p>
    <w:p>
      <w:pPr>
        <w:pStyle w:val="ListParagraph"/>
        <w:numPr>
          <w:ilvl w:val="0"/>
          <w:numId w:val="2"/>
        </w:numPr>
        <w:spacing w:after="90"/>
      </w:pPr>
      <w:r>
        <w:rPr>
          <w:rFonts w:ascii="Garamond" w:cs="Garamond" w:eastAsia="Garamond" w:hAnsi="Garamond"/>
          <w:color w:val="24211C"/>
          <w:sz w:val="22"/>
          <w:szCs w:val="22"/>
        </w:rPr>
        <w:t xml:space="preserve">Local governance board</w:t>
      </w:r>
    </w:p>
    <w:p>
      <w:pPr>
        <w:pStyle w:val="ListParagraph"/>
        <w:numPr>
          <w:ilvl w:val="0"/>
          <w:numId w:val="2"/>
        </w:numPr>
        <w:spacing w:after="90"/>
      </w:pPr>
      <w:r>
        <w:rPr>
          <w:rFonts w:ascii="Garamond" w:cs="Garamond" w:eastAsia="Garamond" w:hAnsi="Garamond"/>
          <w:color w:val="24211C"/>
          <w:sz w:val="22"/>
          <w:szCs w:val="22"/>
        </w:rPr>
        <w:t xml:space="preserve">Appropriate display / suppression thresholds</w:t>
      </w:r>
    </w:p>
    <w:p>
      <w:pPr>
        <w:pStyle w:val="Heading2"/>
        <w:spacing w:after="140" w:before="340"/>
      </w:pPr>
      <w:r>
        <w:rPr>
          <w:rFonts w:ascii="Cambria" w:cs="Cambria" w:eastAsia="Cambria" w:hAnsi="Cambria"/>
          <w:b/>
          <w:bCs/>
          <w:color w:val="7A2E2E"/>
          <w:sz w:val="24"/>
          <w:szCs w:val="24"/>
        </w:rPr>
        <w:t xml:space="preserve">Official and credible resource sources</w:t>
      </w:r>
    </w:p>
    <w:p>
      <w:pPr>
        <w:pStyle w:val="ListParagraph"/>
        <w:numPr>
          <w:ilvl w:val="0"/>
          <w:numId w:val="2"/>
        </w:numPr>
        <w:spacing w:after="90"/>
      </w:pPr>
      <w:r>
        <w:rPr>
          <w:rFonts w:ascii="Garamond" w:cs="Garamond" w:eastAsia="Garamond" w:hAnsi="Garamond"/>
          <w:color w:val="24211C"/>
          <w:sz w:val="22"/>
          <w:szCs w:val="22"/>
        </w:rPr>
        <w:t xml:space="preserve">Government women's ministries and emergency services</w:t>
      </w:r>
    </w:p>
    <w:p>
      <w:pPr>
        <w:pStyle w:val="ListParagraph"/>
        <w:numPr>
          <w:ilvl w:val="0"/>
          <w:numId w:val="2"/>
        </w:numPr>
        <w:spacing w:after="90"/>
      </w:pPr>
      <w:r>
        <w:rPr>
          <w:rFonts w:ascii="Garamond" w:cs="Garamond" w:eastAsia="Garamond" w:hAnsi="Garamond"/>
          <w:color w:val="24211C"/>
          <w:sz w:val="22"/>
          <w:szCs w:val="22"/>
        </w:rPr>
        <w:t xml:space="preserve">National legal-aid authorities</w:t>
      </w:r>
    </w:p>
    <w:p>
      <w:pPr>
        <w:pStyle w:val="ListParagraph"/>
        <w:numPr>
          <w:ilvl w:val="0"/>
          <w:numId w:val="2"/>
        </w:numPr>
        <w:spacing w:after="90"/>
      </w:pPr>
      <w:r>
        <w:rPr>
          <w:rFonts w:ascii="Garamond" w:cs="Garamond" w:eastAsia="Garamond" w:hAnsi="Garamond"/>
          <w:color w:val="24211C"/>
          <w:sz w:val="22"/>
          <w:szCs w:val="22"/>
        </w:rPr>
        <w:t xml:space="preserve">Public health systems</w:t>
      </w:r>
    </w:p>
    <w:p>
      <w:pPr>
        <w:pStyle w:val="ListParagraph"/>
        <w:numPr>
          <w:ilvl w:val="0"/>
          <w:numId w:val="2"/>
        </w:numPr>
        <w:spacing w:after="90"/>
      </w:pPr>
      <w:r>
        <w:rPr>
          <w:rFonts w:ascii="Garamond" w:cs="Garamond" w:eastAsia="Garamond" w:hAnsi="Garamond"/>
          <w:color w:val="24211C"/>
          <w:sz w:val="22"/>
          <w:szCs w:val="22"/>
        </w:rPr>
        <w:t xml:space="preserve">UN Women, UNFPA, WHO country offices</w:t>
      </w:r>
    </w:p>
    <w:p>
      <w:pPr>
        <w:pStyle w:val="ListParagraph"/>
        <w:numPr>
          <w:ilvl w:val="0"/>
          <w:numId w:val="2"/>
        </w:numPr>
        <w:spacing w:after="90"/>
      </w:pPr>
      <w:r>
        <w:rPr>
          <w:rFonts w:ascii="Garamond" w:cs="Garamond" w:eastAsia="Garamond" w:hAnsi="Garamond"/>
          <w:color w:val="24211C"/>
          <w:sz w:val="22"/>
          <w:szCs w:val="22"/>
        </w:rPr>
        <w:t xml:space="preserve">National human-rights institutions</w:t>
      </w:r>
    </w:p>
    <w:p>
      <w:pPr>
        <w:pStyle w:val="ListParagraph"/>
        <w:numPr>
          <w:ilvl w:val="0"/>
          <w:numId w:val="2"/>
        </w:numPr>
        <w:spacing w:after="90"/>
      </w:pPr>
      <w:r>
        <w:rPr>
          <w:rFonts w:ascii="Garamond" w:cs="Garamond" w:eastAsia="Garamond" w:hAnsi="Garamond"/>
          <w:color w:val="24211C"/>
          <w:sz w:val="22"/>
          <w:szCs w:val="22"/>
        </w:rPr>
        <w:t xml:space="preserve">Verified NGOs and survivor-support organizations</w:t>
      </w:r>
    </w:p>
    <w:p>
      <w:pPr>
        <w:pStyle w:val="ListParagraph"/>
        <w:numPr>
          <w:ilvl w:val="0"/>
          <w:numId w:val="2"/>
        </w:numPr>
        <w:spacing w:after="90"/>
      </w:pPr>
      <w:r>
        <w:rPr>
          <w:rFonts w:ascii="Garamond" w:cs="Garamond" w:eastAsia="Garamond" w:hAnsi="Garamond"/>
          <w:color w:val="24211C"/>
          <w:sz w:val="22"/>
          <w:szCs w:val="22"/>
        </w:rPr>
        <w:t xml:space="preserve">Official government directories</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UN Women's Global Database on Violence Against Women and Girls provides country-level information on governmental measures, laws, budgets, institutional mechanisms, and services.</w:t>
      </w:r>
      <w:r>
        <w:rPr>
          <w:rFonts w:ascii="Garamond" w:cs="Garamond" w:eastAsia="Garamond" w:hAnsi="Garamond"/>
          <w:color w:val="6E6A63"/>
          <w:sz w:val="18"/>
          <w:szCs w:val="18"/>
        </w:rPr>
        <w:t xml:space="preserve">  — data.unwomen.org</w:t>
      </w:r>
    </w:p>
    <w:p>
      <w:r>
        <w:br w:type="page"/>
      </w:r>
    </w:p>
    <w:p>
      <w:pPr>
        <w:pStyle w:val="Heading1"/>
        <w:pBdr>
          <w:bottom w:val="single" w:color="7A2E2E" w:sz="10" w:space="8"/>
        </w:pBdr>
        <w:spacing w:after="200" w:before="520"/>
      </w:pPr>
      <w:r>
        <w:rPr>
          <w:rFonts w:ascii="Cambria" w:cs="Cambria" w:eastAsia="Cambria" w:hAnsi="Cambria"/>
          <w:b/>
          <w:bCs/>
          <w:color w:val="6E6A63"/>
          <w:sz w:val="26"/>
          <w:szCs w:val="26"/>
        </w:rPr>
        <w:t xml:space="preserve">9  </w:t>
      </w:r>
      <w:r>
        <w:rPr>
          <w:rFonts w:ascii="Cambria" w:cs="Cambria" w:eastAsia="Cambria" w:hAnsi="Cambria"/>
          <w:b/>
          <w:bCs/>
          <w:color w:val="24211C"/>
          <w:spacing w:val="6"/>
          <w:sz w:val="30"/>
          <w:szCs w:val="30"/>
        </w:rPr>
        <w:t xml:space="preserve">Global SDG Metrics</w:t>
      </w:r>
    </w:p>
    <w:p>
      <w:pPr>
        <w:spacing w:after="160" w:line="300"/>
        <w:jc w:val="left"/>
      </w:pPr>
      <w:r>
        <w:rPr>
          <w:rFonts w:ascii="Garamond" w:cs="Garamond" w:eastAsia="Garamond" w:hAnsi="Garamond"/>
          <w:color w:val="24211C"/>
          <w:sz w:val="22"/>
          <w:szCs w:val="22"/>
        </w:rPr>
        <w:t xml:space="preserve">These are project impact metrics, not official replacements for UN SDG indicators.</w:t>
      </w:r>
    </w:p>
    <w:tbl>
      <w:tblPr>
        <w:tblW w:type="dxa" w:w="9350"/>
        <w:tblBorders>
          <w:top w:val="single" w:color="C9C2B4" w:sz="4"/>
          <w:left w:val="single" w:color="C9C2B4" w:sz="4"/>
          <w:bottom w:val="single" w:color="C9C2B4" w:sz="4"/>
          <w:right w:val="single" w:color="C9C2B4" w:sz="4"/>
          <w:insideH w:val="single" w:color="C9C2B4" w:sz="4"/>
          <w:insideV w:val="single" w:color="C9C2B4" w:sz="4"/>
        </w:tblBorders>
      </w:tblPr>
      <w:tblGrid>
        <w:gridCol w:w="1350"/>
        <w:gridCol w:w="3900"/>
        <w:gridCol w:w="4100"/>
      </w:tblGrid>
      <w:tr>
        <w:trPr>
          <w:cantSplit/>
          <w:tblHeader/>
        </w:trPr>
        <w:tc>
          <w:tcPr>
            <w:tcW w:type="dxa" w:w="135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SDG</w:t>
            </w:r>
          </w:p>
        </w:tc>
        <w:tc>
          <w:tcPr>
            <w:tcW w:type="dxa" w:w="39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Project metric</w:t>
            </w:r>
          </w:p>
        </w:tc>
        <w:tc>
          <w:tcPr>
            <w:tcW w:type="dxa" w:w="4100"/>
            <w:shd w:fill="2F2A24" w:color="auto" w:val="clear"/>
            <w:tcMar>
              <w:top w:type="dxa" w:w="100"/>
              <w:left w:type="dxa" w:w="140"/>
              <w:bottom w:type="dxa" w:w="100"/>
              <w:right w:type="dxa" w:w="140"/>
            </w:tcMar>
            <w:vAlign w:val="center"/>
          </w:tcPr>
          <w:p>
            <w:pPr>
              <w:jc w:val="left"/>
            </w:pPr>
            <w:r>
              <w:rPr>
                <w:rFonts w:ascii="Garamond" w:cs="Garamond" w:eastAsia="Garamond" w:hAnsi="Garamond"/>
                <w:b/>
                <w:bCs/>
                <w:i w:val="false"/>
                <w:iCs w:val="false"/>
                <w:color w:val="FFFFFF"/>
                <w:sz w:val="19"/>
                <w:szCs w:val="19"/>
              </w:rPr>
              <w:t xml:space="preserve">What it demonstrates</w:t>
            </w:r>
          </w:p>
        </w:tc>
      </w:tr>
      <w:tr>
        <w:trPr>
          <w:cantSplit/>
        </w:trPr>
        <w:tc>
          <w:tcPr>
            <w:tcW w:type="dxa" w:w="13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SDG 5</w:t>
            </w:r>
          </w:p>
        </w:tc>
        <w:tc>
          <w:tcPr>
            <w:tcW w:type="dxa" w:w="3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Private plans initiated</w:t>
            </w:r>
          </w:p>
        </w:tc>
        <w:tc>
          <w:tcPr>
            <w:tcW w:type="dxa" w:w="41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Access to survivor-centred planning</w:t>
            </w:r>
          </w:p>
        </w:tc>
      </w:tr>
      <w:tr>
        <w:trPr>
          <w:cantSplit/>
        </w:trPr>
        <w:tc>
          <w:tcPr>
            <w:tcW w:type="dxa" w:w="13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SDG 5</w:t>
            </w:r>
          </w:p>
        </w:tc>
        <w:tc>
          <w:tcPr>
            <w:tcW w:type="dxa" w:w="3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User-selected support pathways</w:t>
            </w:r>
          </w:p>
        </w:tc>
        <w:tc>
          <w:tcPr>
            <w:tcW w:type="dxa" w:w="41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Ability to reach help without forced reporting</w:t>
            </w:r>
          </w:p>
        </w:tc>
      </w:tr>
      <w:tr>
        <w:trPr>
          <w:cantSplit/>
        </w:trPr>
        <w:tc>
          <w:tcPr>
            <w:tcW w:type="dxa" w:w="13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SDG 5</w:t>
            </w:r>
          </w:p>
        </w:tc>
        <w:tc>
          <w:tcPr>
            <w:tcW w:type="dxa" w:w="3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Completed financial / document readiness actions</w:t>
            </w:r>
          </w:p>
        </w:tc>
        <w:tc>
          <w:tcPr>
            <w:tcW w:type="dxa" w:w="41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Support for independence and agency</w:t>
            </w:r>
          </w:p>
        </w:tc>
      </w:tr>
      <w:tr>
        <w:trPr>
          <w:cantSplit/>
        </w:trPr>
        <w:tc>
          <w:tcPr>
            <w:tcW w:type="dxa" w:w="13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SDG 10</w:t>
            </w:r>
          </w:p>
        </w:tc>
        <w:tc>
          <w:tcPr>
            <w:tcW w:type="dxa" w:w="3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Completion rate in low-data mode</w:t>
            </w:r>
          </w:p>
        </w:tc>
        <w:tc>
          <w:tcPr>
            <w:tcW w:type="dxa" w:w="41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Digital inclusion</w:t>
            </w:r>
          </w:p>
        </w:tc>
      </w:tr>
      <w:tr>
        <w:trPr>
          <w:cantSplit/>
        </w:trPr>
        <w:tc>
          <w:tcPr>
            <w:tcW w:type="dxa" w:w="13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SDG 10</w:t>
            </w:r>
          </w:p>
        </w:tc>
        <w:tc>
          <w:tcPr>
            <w:tcW w:type="dxa" w:w="3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Use by language / accessibility mode</w:t>
            </w:r>
          </w:p>
        </w:tc>
        <w:tc>
          <w:tcPr>
            <w:tcW w:type="dxa" w:w="41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Inclusive access</w:t>
            </w:r>
          </w:p>
        </w:tc>
      </w:tr>
      <w:tr>
        <w:trPr>
          <w:cantSplit/>
        </w:trPr>
        <w:tc>
          <w:tcPr>
            <w:tcW w:type="dxa" w:w="13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SDG 10</w:t>
            </w:r>
          </w:p>
        </w:tc>
        <w:tc>
          <w:tcPr>
            <w:tcW w:type="dxa" w:w="3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Verified free-service route coverage</w:t>
            </w:r>
          </w:p>
        </w:tc>
        <w:tc>
          <w:tcPr>
            <w:tcW w:type="dxa" w:w="41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Reduced financial barriers</w:t>
            </w:r>
          </w:p>
        </w:tc>
      </w:tr>
      <w:tr>
        <w:trPr>
          <w:cantSplit/>
        </w:trPr>
        <w:tc>
          <w:tcPr>
            <w:tcW w:type="dxa" w:w="13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SDG 16</w:t>
            </w:r>
          </w:p>
        </w:tc>
        <w:tc>
          <w:tcPr>
            <w:tcW w:type="dxa" w:w="3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Consent-logged evidence shares / exports</w:t>
            </w:r>
          </w:p>
        </w:tc>
        <w:tc>
          <w:tcPr>
            <w:tcW w:type="dxa" w:w="41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Accountable access pathway</w:t>
            </w:r>
          </w:p>
        </w:tc>
      </w:tr>
      <w:tr>
        <w:trPr>
          <w:cantSplit/>
        </w:trPr>
        <w:tc>
          <w:tcPr>
            <w:tcW w:type="dxa" w:w="13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SDG 16</w:t>
            </w:r>
          </w:p>
        </w:tc>
        <w:tc>
          <w:tcPr>
            <w:tcW w:type="dxa" w:w="3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Correct resource-routing time</w:t>
            </w:r>
          </w:p>
        </w:tc>
        <w:tc>
          <w:tcPr>
            <w:tcW w:type="dxa" w:w="41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Effective support navigation</w:t>
            </w:r>
          </w:p>
        </w:tc>
      </w:tr>
      <w:tr>
        <w:trPr>
          <w:cantSplit/>
        </w:trPr>
        <w:tc>
          <w:tcPr>
            <w:tcW w:type="dxa" w:w="135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SDG 16</w:t>
            </w:r>
          </w:p>
        </w:tc>
        <w:tc>
          <w:tcPr>
            <w:tcW w:type="dxa" w:w="39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Verified resource-directory freshness</w:t>
            </w:r>
          </w:p>
        </w:tc>
        <w:tc>
          <w:tcPr>
            <w:tcW w:type="dxa" w:w="4100"/>
            <w:shd w:fill="FFFFFF"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Institutional accountability</w:t>
            </w:r>
          </w:p>
        </w:tc>
      </w:tr>
      <w:tr>
        <w:trPr>
          <w:cantSplit/>
        </w:trPr>
        <w:tc>
          <w:tcPr>
            <w:tcW w:type="dxa" w:w="135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SDG 16</w:t>
            </w:r>
          </w:p>
        </w:tc>
        <w:tc>
          <w:tcPr>
            <w:tcW w:type="dxa" w:w="39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Threshold-protected aggregate alerts</w:t>
            </w:r>
          </w:p>
        </w:tc>
        <w:tc>
          <w:tcPr>
            <w:tcW w:type="dxa" w:w="4100"/>
            <w:shd w:fill="F4F1EA" w:color="auto" w:val="clear"/>
            <w:tcMar>
              <w:top w:type="dxa" w:w="100"/>
              <w:left w:type="dxa" w:w="140"/>
              <w:bottom w:type="dxa" w:w="100"/>
              <w:right w:type="dxa" w:w="140"/>
            </w:tcMar>
            <w:vAlign w:val="center"/>
          </w:tcPr>
          <w:p>
            <w:pPr>
              <w:jc w:val="left"/>
            </w:pPr>
            <w:r>
              <w:rPr>
                <w:rFonts w:ascii="Garamond" w:cs="Garamond" w:eastAsia="Garamond" w:hAnsi="Garamond"/>
                <w:b w:val="false"/>
                <w:bCs w:val="false"/>
                <w:i w:val="false"/>
                <w:iCs w:val="false"/>
                <w:color w:val="24211C"/>
                <w:sz w:val="20"/>
                <w:szCs w:val="20"/>
              </w:rPr>
              <w:t xml:space="preserve">Privacy-safe institutional readiness</w:t>
            </w:r>
          </w:p>
        </w:tc>
      </w:tr>
    </w:tbl>
    <w:p>
      <w:pPr>
        <w:pStyle w:val="Heading1"/>
        <w:pBdr>
          <w:bottom w:val="single" w:color="7A2E2E" w:sz="10" w:space="8"/>
        </w:pBdr>
        <w:spacing w:after="200" w:before="520"/>
      </w:pPr>
      <w:r>
        <w:rPr>
          <w:rFonts w:ascii="Cambria" w:cs="Cambria" w:eastAsia="Cambria" w:hAnsi="Cambria"/>
          <w:b/>
          <w:bCs/>
          <w:color w:val="6E6A63"/>
          <w:sz w:val="26"/>
          <w:szCs w:val="26"/>
        </w:rPr>
        <w:t xml:space="preserve">10  </w:t>
      </w:r>
      <w:r>
        <w:rPr>
          <w:rFonts w:ascii="Cambria" w:cs="Cambria" w:eastAsia="Cambria" w:hAnsi="Cambria"/>
          <w:b/>
          <w:bCs/>
          <w:color w:val="24211C"/>
          <w:spacing w:val="6"/>
          <w:sz w:val="30"/>
          <w:szCs w:val="30"/>
        </w:rPr>
        <w:t xml:space="preserve">Exact Alignment Statement</w:t>
      </w:r>
    </w:p>
    <w:p>
      <w:pPr>
        <w:spacing w:after="160" w:line="300"/>
        <w:jc w:val="left"/>
      </w:pPr>
      <w:r>
        <w:rPr>
          <w:rFonts w:ascii="Garamond" w:cs="Garamond" w:eastAsia="Garamond" w:hAnsi="Garamond"/>
          <w:color w:val="24211C"/>
          <w:sz w:val="22"/>
          <w:szCs w:val="22"/>
        </w:rPr>
        <w:t xml:space="preserve">Use this in the PPT, abstract, or documentation:</w:t>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EXIT operationalizes SDG 5.2 and SDG 5.b by using survivor-centred technology to support women facing violence, including technology-facilitated abuse. It advances SDG 10 through low-data, multilingual, accessible, and financially inclusive routes to support. It advances SDG 16.3, 16.6, 16.7, and 16.10 through consent-based justice navigation, verified resource information, accountable data governance, and survivor-controlled participation. LIVEGENDER responds to UN Women's documented TF-VAWG measurement gap through voluntary, de-identified, threshold-protected aggregate service signals — not surveillance or crime prediction.</w:t>
      </w:r>
      <w:r>
        <w:rPr>
          <w:rFonts w:ascii="Garamond" w:cs="Garamond" w:eastAsia="Garamond" w:hAnsi="Garamond"/>
          <w:color w:val="6E6A63"/>
          <w:sz w:val="18"/>
          <w:szCs w:val="18"/>
        </w:rPr>
        <w:t xml:space="preserve">  — aligned with UN Women</w:t>
      </w:r>
    </w:p>
    <w:p>
      <w:pPr>
        <w:pStyle w:val="Heading1"/>
        <w:pBdr>
          <w:bottom w:val="single" w:color="7A2E2E" w:sz="10" w:space="8"/>
        </w:pBdr>
        <w:spacing w:after="200" w:before="520"/>
      </w:pPr>
      <w:r>
        <w:rPr>
          <w:rFonts w:ascii="Cambria" w:cs="Cambria" w:eastAsia="Cambria" w:hAnsi="Cambria"/>
          <w:b/>
          <w:bCs/>
          <w:color w:val="6E6A63"/>
          <w:sz w:val="26"/>
          <w:szCs w:val="26"/>
        </w:rPr>
        <w:t xml:space="preserve">11  </w:t>
      </w:r>
      <w:r>
        <w:rPr>
          <w:rFonts w:ascii="Cambria" w:cs="Cambria" w:eastAsia="Cambria" w:hAnsi="Cambria"/>
          <w:b/>
          <w:bCs/>
          <w:color w:val="24211C"/>
          <w:spacing w:val="6"/>
          <w:sz w:val="30"/>
          <w:szCs w:val="30"/>
        </w:rPr>
        <w:t xml:space="preserve">Non-Negotiable Safeguards</w:t>
      </w:r>
    </w:p>
    <w:p>
      <w:pPr>
        <w:spacing w:after="160" w:line="300"/>
        <w:jc w:val="left"/>
      </w:pPr>
      <w:r>
        <w:rPr>
          <w:rFonts w:ascii="Garamond" w:cs="Garamond" w:eastAsia="Garamond" w:hAnsi="Garamond"/>
          <w:color w:val="24211C"/>
          <w:sz w:val="22"/>
          <w:szCs w:val="22"/>
        </w:rPr>
        <w:t xml:space="preserve">The project must state these clearly:</w:t>
      </w:r>
    </w:p>
    <w:p>
      <w:pPr>
        <w:pStyle w:val="ListParagraph"/>
        <w:numPr>
          <w:ilvl w:val="0"/>
          <w:numId w:val="2"/>
        </w:numPr>
        <w:spacing w:after="90"/>
      </w:pPr>
      <w:r>
        <w:rPr>
          <w:rFonts w:ascii="Garamond" w:cs="Garamond" w:eastAsia="Garamond" w:hAnsi="Garamond"/>
          <w:color w:val="24211C"/>
          <w:sz w:val="22"/>
          <w:szCs w:val="22"/>
        </w:rPr>
        <w:t xml:space="preserve">EXIT does not replace emergency, police, medical, legal, counselling, or shelter services</w:t>
      </w:r>
    </w:p>
    <w:p>
      <w:pPr>
        <w:pStyle w:val="ListParagraph"/>
        <w:numPr>
          <w:ilvl w:val="0"/>
          <w:numId w:val="2"/>
        </w:numPr>
        <w:spacing w:after="90"/>
      </w:pPr>
      <w:r>
        <w:rPr>
          <w:rFonts w:ascii="Garamond" w:cs="Garamond" w:eastAsia="Garamond" w:hAnsi="Garamond"/>
          <w:color w:val="24211C"/>
          <w:sz w:val="22"/>
          <w:szCs w:val="22"/>
        </w:rPr>
        <w:t xml:space="preserve">EXIT does not diagnose violence or assess a person's credibility</w:t>
      </w:r>
    </w:p>
    <w:p>
      <w:pPr>
        <w:pStyle w:val="ListParagraph"/>
        <w:numPr>
          <w:ilvl w:val="0"/>
          <w:numId w:val="2"/>
        </w:numPr>
        <w:spacing w:after="90"/>
      </w:pPr>
      <w:r>
        <w:rPr>
          <w:rFonts w:ascii="Garamond" w:cs="Garamond" w:eastAsia="Garamond" w:hAnsi="Garamond"/>
          <w:color w:val="24211C"/>
          <w:sz w:val="22"/>
          <w:szCs w:val="22"/>
        </w:rPr>
        <w:t xml:space="preserve">EXIT does not score danger or predict future violence</w:t>
      </w:r>
    </w:p>
    <w:p>
      <w:pPr>
        <w:pStyle w:val="ListParagraph"/>
        <w:numPr>
          <w:ilvl w:val="0"/>
          <w:numId w:val="2"/>
        </w:numPr>
        <w:spacing w:after="90"/>
      </w:pPr>
      <w:r>
        <w:rPr>
          <w:rFonts w:ascii="Garamond" w:cs="Garamond" w:eastAsia="Garamond" w:hAnsi="Garamond"/>
          <w:color w:val="24211C"/>
          <w:sz w:val="22"/>
          <w:szCs w:val="22"/>
        </w:rPr>
        <w:t xml:space="preserve">EXIT never automatically contacts police, family, employers, or partners</w:t>
      </w:r>
    </w:p>
    <w:p>
      <w:pPr>
        <w:pStyle w:val="ListParagraph"/>
        <w:numPr>
          <w:ilvl w:val="0"/>
          <w:numId w:val="2"/>
        </w:numPr>
        <w:spacing w:after="90"/>
      </w:pPr>
      <w:r>
        <w:rPr>
          <w:rFonts w:ascii="Garamond" w:cs="Garamond" w:eastAsia="Garamond" w:hAnsi="Garamond"/>
          <w:color w:val="24211C"/>
          <w:sz w:val="22"/>
          <w:szCs w:val="22"/>
        </w:rPr>
        <w:t xml:space="preserve">EXIT never automatically shares a location, plan, or evidence</w:t>
      </w:r>
    </w:p>
    <w:p>
      <w:pPr>
        <w:pStyle w:val="ListParagraph"/>
        <w:numPr>
          <w:ilvl w:val="0"/>
          <w:numId w:val="2"/>
        </w:numPr>
        <w:spacing w:after="90"/>
      </w:pPr>
      <w:r>
        <w:rPr>
          <w:rFonts w:ascii="Garamond" w:cs="Garamond" w:eastAsia="Garamond" w:hAnsi="Garamond"/>
          <w:color w:val="24211C"/>
          <w:sz w:val="22"/>
          <w:szCs w:val="22"/>
        </w:rPr>
        <w:t xml:space="preserve">EXIT does not guarantee that a device is hidden from a sophisticated abuser</w:t>
      </w:r>
    </w:p>
    <w:p>
      <w:pPr>
        <w:pStyle w:val="ListParagraph"/>
        <w:numPr>
          <w:ilvl w:val="0"/>
          <w:numId w:val="2"/>
        </w:numPr>
        <w:spacing w:after="90"/>
      </w:pPr>
      <w:r>
        <w:rPr>
          <w:rFonts w:ascii="Garamond" w:cs="Garamond" w:eastAsia="Garamond" w:hAnsi="Garamond"/>
          <w:color w:val="24211C"/>
          <w:sz w:val="22"/>
          <w:szCs w:val="22"/>
        </w:rPr>
        <w:t xml:space="preserve">AegisVault does not guarantee court admissibility or forensic certification</w:t>
      </w:r>
    </w:p>
    <w:p>
      <w:pPr>
        <w:pStyle w:val="ListParagraph"/>
        <w:numPr>
          <w:ilvl w:val="0"/>
          <w:numId w:val="2"/>
        </w:numPr>
        <w:spacing w:after="90"/>
      </w:pPr>
      <w:r>
        <w:rPr>
          <w:rFonts w:ascii="Garamond" w:cs="Garamond" w:eastAsia="Garamond" w:hAnsi="Garamond"/>
          <w:color w:val="24211C"/>
          <w:sz w:val="22"/>
          <w:szCs w:val="22"/>
        </w:rPr>
        <w:t xml:space="preserve">LIVEGENDER never receives private plan data, evidence files, raw narratives, GPS, device IDs, or personal identifiers</w:t>
      </w:r>
    </w:p>
    <w:p>
      <w:pPr>
        <w:pStyle w:val="ListParagraph"/>
        <w:numPr>
          <w:ilvl w:val="0"/>
          <w:numId w:val="2"/>
        </w:numPr>
        <w:spacing w:after="90"/>
      </w:pPr>
      <w:r>
        <w:rPr>
          <w:rFonts w:ascii="Garamond" w:cs="Garamond" w:eastAsia="Garamond" w:hAnsi="Garamond"/>
          <w:color w:val="24211C"/>
          <w:sz w:val="22"/>
          <w:szCs w:val="22"/>
        </w:rPr>
        <w:t xml:space="preserve">LIVEGENDER is not a public crime map and must not label places “unsafe.”</w:t>
      </w:r>
    </w:p>
    <w:p>
      <w:pPr>
        <w:pStyle w:val="ListParagraph"/>
        <w:numPr>
          <w:ilvl w:val="0"/>
          <w:numId w:val="2"/>
        </w:numPr>
        <w:spacing w:after="90"/>
      </w:pPr>
      <w:r>
        <w:rPr>
          <w:rFonts w:ascii="Garamond" w:cs="Garamond" w:eastAsia="Garamond" w:hAnsi="Garamond"/>
          <w:color w:val="24211C"/>
          <w:sz w:val="22"/>
          <w:szCs w:val="22"/>
        </w:rPr>
        <w:t xml:space="preserve">All hackathon demonstrations use synthetic data and fictional personas only</w:t>
      </w:r>
    </w:p>
    <w:p>
      <w:pPr>
        <w:pStyle w:val="ListParagraph"/>
        <w:numPr>
          <w:ilvl w:val="0"/>
          <w:numId w:val="2"/>
        </w:numPr>
        <w:spacing w:after="90"/>
      </w:pPr>
      <w:r>
        <w:rPr>
          <w:rFonts w:ascii="Garamond" w:cs="Garamond" w:eastAsia="Garamond" w:hAnsi="Garamond"/>
          <w:color w:val="24211C"/>
          <w:sz w:val="22"/>
          <w:szCs w:val="22"/>
        </w:rPr>
        <w:t xml:space="preserve">Real deployment requires co-design with survivor groups, legal experts, counsellors, local NGOs, cybersecurity experts, and independent privacy / security review</w:t>
      </w:r>
    </w:p>
    <w:p>
      <w:pPr>
        <w:spacing w:after="160" w:line="300"/>
        <w:jc w:val="left"/>
      </w:pPr>
      <w:r>
        <w:rPr>
          <w:rFonts w:ascii="Garamond" w:cs="Garamond" w:eastAsia="Garamond" w:hAnsi="Garamond"/>
          <w:color w:val="24211C"/>
          <w:sz w:val="22"/>
          <w:szCs w:val="22"/>
        </w:rPr>
        <w:t xml:space="preserve"/>
      </w:r>
    </w:p>
    <w:p>
      <w:pPr>
        <w:pBdr>
          <w:left w:val="single" w:color="7A2E2E" w:sz="18" w:space="10"/>
        </w:pBdr>
        <w:spacing w:after="200" w:before="140" w:line="300"/>
        <w:ind w:left="504"/>
      </w:pPr>
      <w:r>
        <w:rPr>
          <w:rFonts w:ascii="Garamond" w:cs="Garamond" w:eastAsia="Garamond" w:hAnsi="Garamond"/>
          <w:i/>
          <w:iCs/>
          <w:color w:val="44403A"/>
          <w:sz w:val="22"/>
          <w:szCs w:val="22"/>
        </w:rPr>
        <w:t xml:space="preserve">This makes EXIT both ambitious and credible: it aligns with UN goals while respecting the core survivor-safety principles that must govern any technology in this area.</w:t>
      </w:r>
    </w:p>
    <w:sectPr>
      <w:headerReference w:type="default" r:id="rId7"/>
      <w:headerReference w:type="first" r:id="rId8"/>
      <w:footerReference w:type="default" r:id="rId9"/>
      <w:footerReference w:type="first" r:id="rId10"/>
      <w:pgSz w:w="12240" w:h="15840" w:orient="portrait"/>
      <w:pgMar w:top="1080" w:right="1300" w:bottom="108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E6A63"/>
        <w:sz w:val="16"/>
        <w:szCs w:val="16"/>
      </w:rPr>
      <w:t xml:space="preserve">EXIT · Survivor-Owned Safety Continuity Platform   —   </w:t>
    </w:r>
    <w:r>
      <w:rPr>
        <w:rFonts w:ascii="Garamond" w:cs="Garamond" w:eastAsia="Garamond" w:hAnsi="Garamond"/>
        <w:color w:val="6E6A6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B4" w:sz="4" w:space="4"/>
      </w:pBdr>
      <w:jc w:val="right"/>
    </w:pPr>
    <w:r>
      <w:rPr>
        <w:rFonts w:ascii="Garamond" w:cs="Garamond" w:eastAsia="Garamond" w:hAnsi="Garamond"/>
        <w:i/>
        <w:iCs/>
        <w:color w:val="6E6A63"/>
        <w:sz w:val="16"/>
        <w:szCs w:val="16"/>
      </w:rPr>
      <w:t xml:space="preserve">EXIT — UN Alignment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Garamond" w:cs="Garamond" w:eastAsia="Garamond" w:hAnsi="Garamond"/>
        <w:color w:val="7A2E2E"/>
      </w:rPr>
    </w:lvl>
    <w:lvl w:ilvl="1" w15:tentative="1">
      <w:start w:val="1"/>
      <w:numFmt w:val="bullet"/>
      <w:lvlText w:val="·"/>
      <w:lvlJc w:val="left"/>
      <w:pPr>
        <w:ind w:left="1008" w:hanging="288"/>
      </w:pPr>
      <w:rPr>
        <w:rFonts w:ascii="Garamond" w:cs="Garamond" w:eastAsia="Garamond" w:hAnsi="Garamond"/>
        <w:color w:val="6E6A63"/>
      </w:rPr>
    </w:lvl>
  </w:abstractNum>
  <w:abstractNum w:abstractNumId="3" w15:restartNumberingAfterBreak="0">
    <w:multiLevelType w:val="hybridMultilevel"/>
    <w:lvl w:ilvl="0" w15:tentative="1">
      <w:start w:val="1"/>
      <w:numFmt w:val="decimal"/>
      <w:lvlText w:val="%1."/>
      <w:lvlJc w:val="left"/>
      <w:pPr>
        <w:ind w:left="576" w:hanging="431"/>
      </w:pPr>
      <w:rPr>
        <w:rFonts w:ascii="Garamond" w:cs="Garamond" w:eastAsia="Garamond" w:hAnsi="Garamond"/>
        <w:b/>
        <w:bCs/>
        <w:color w:val="7A2E2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24211C"/>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mbria" w:cs="Cambria" w:eastAsia="Cambria" w:hAnsi="Cambria"/>
      <w:b/>
      <w:bCs/>
      <w:color w:val="24211C"/>
      <w:sz w:val="30"/>
      <w:szCs w:val="30"/>
    </w:rPr>
  </w:style>
  <w:style w:type="paragraph" w:styleId="Heading2">
    <w:name w:val="Heading 2"/>
    <w:basedOn w:val="Normal"/>
    <w:next w:val="Normal"/>
    <w:qFormat/>
    <w:pPr>
      <w:spacing w:after="140" w:before="320"/>
      <w:outlineLvl w:val="1"/>
    </w:pPr>
    <w:rPr>
      <w:rFonts w:ascii="Cambria" w:cs="Cambria" w:eastAsia="Cambria" w:hAnsi="Cambria"/>
      <w:b/>
      <w:bCs/>
      <w:color w:val="7A2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2026-08-15T14:59:52.934Z</dcterms:created>
  <dcterms:modified xsi:type="dcterms:W3CDTF">2026-08-15T14:59:52.934Z</dcterms:modified>
</cp:coreProperties>
</file>

<file path=docProps/custom.xml><?xml version="1.0" encoding="utf-8"?>
<Properties xmlns="http://schemas.openxmlformats.org/officeDocument/2006/custom-properties" xmlns:vt="http://schemas.openxmlformats.org/officeDocument/2006/docPropsVTypes"/>
</file>