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 w:themeFill="background1"/>
        <w:spacing w:after="240"/>
        <w:rPr>
          <w:rFonts w:hint="eastAsia" w:ascii="宋体" w:hAnsi="宋体" w:eastAsia="宋体" w:cs="宋体"/>
          <w:color w:val="FF0000"/>
          <w:sz w:val="32"/>
          <w:szCs w:val="32"/>
        </w:rPr>
      </w:pPr>
      <w:r>
        <w:rPr>
          <w:rFonts w:hint="eastAsia" w:ascii="宋体" w:hAnsi="宋体" w:eastAsia="宋体" w:cs="宋体"/>
          <w:color w:val="FF0000"/>
          <w:sz w:val="32"/>
          <w:szCs w:val="32"/>
        </w:rPr>
        <w:t>任务2：进化与模糊系统</w:t>
      </w:r>
    </w:p>
    <w:p>
      <w:pPr>
        <w:spacing w:after="2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模糊逻辑优化控制器（FLC）用于智能辅助护理环境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</w:rPr>
        <w:t>设计并实现一个FLC，用于控制残疾居民智能公寓的环境参数。系统需要自动调节环境条件、用户偏好或辅助设备（如坡道、自动调节家具、厨房台面、暖通空调、照明或水温控制）的运行。该环境可以基于小型公寓中的一个房间，一个更具雄心的项目可能会考虑整个公寓的方面，但这取决于您的选择。</w:t>
      </w:r>
    </w:p>
    <w:p>
      <w:pPr>
        <w:spacing w:after="2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需要控制的环境参数可能包括环境温度、热适应和使用执行器（如冷却风扇、加热器/锅炉、百叶窗和调光开关）的照明。您还可以考虑其他参数，如电视或音乐音量控制，以及电子设备和加热的关闭选项。环境参数可以基于监测传感器（如温度、湿度、天气条件、光照水平、时间、用户活动/运动以及情绪和质量指标，如用户偏好）进行控制。</w:t>
      </w:r>
    </w:p>
    <w:p>
      <w:pPr>
        <w:spacing w:after="2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FLC设计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FLC应基于确定系统输入和输出，具体取决于您决定FLC应实现的控制行为。请注意，根据您希望实现的控制行为，您可以选择使用一部分输入传感器，因此首先考虑FLC应控制的行为。</w:t>
      </w:r>
    </w:p>
    <w:p>
      <w:pPr>
        <w:spacing w:after="2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设计选择应考虑FLC输入和/或输出的模糊集类型和数量。</w:t>
      </w:r>
    </w:p>
    <w:p>
      <w:pPr>
        <w:spacing w:after="2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应定义一组合适的控制规则，可以通过实验来实现所选行为的良好控制性能。</w:t>
      </w:r>
    </w:p>
    <w:p>
      <w:pPr>
        <w:spacing w:after="2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因此，FLC应实现以下功能：</w:t>
      </w:r>
    </w:p>
    <w:p>
      <w:pPr>
        <w:numPr>
          <w:ilvl w:val="0"/>
          <w:numId w:val="1"/>
        </w:numPr>
        <w:ind w:left="624" w:leftChars="0" w:hanging="341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考虑使用的模糊推理模型：Mamdani或Sugeno（TSK）模糊模型。</w:t>
      </w:r>
    </w:p>
    <w:p>
      <w:pPr>
        <w:numPr>
          <w:ilvl w:val="0"/>
          <w:numId w:val="1"/>
        </w:numPr>
        <w:ind w:left="624" w:leftChars="0" w:hanging="341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将清晰输入和输出数据映射到设计的模糊集。</w:t>
      </w:r>
    </w:p>
    <w:p>
      <w:pPr>
        <w:numPr>
          <w:ilvl w:val="0"/>
          <w:numId w:val="1"/>
        </w:numPr>
        <w:ind w:left="624" w:leftChars="0" w:hanging="341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将输入模糊集映射到输出模糊集（对于Mamdani模型），基于一组设计的规则，捕捉机器人的期望控制行为。</w:t>
      </w:r>
    </w:p>
    <w:p>
      <w:pPr>
        <w:numPr>
          <w:ilvl w:val="0"/>
          <w:numId w:val="1"/>
        </w:numPr>
        <w:ind w:left="624" w:leftChars="0" w:hanging="341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使用适当的推理操作（规则蕴涵），处理规则激活和组合的方式（组成和聚合）。</w:t>
      </w:r>
    </w:p>
    <w:p>
      <w:pPr>
        <w:numPr>
          <w:ilvl w:val="0"/>
          <w:numId w:val="1"/>
        </w:numPr>
        <w:ind w:left="624" w:leftChars="0" w:hanging="341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模糊推理引擎的输出将定义一个修改后的输出模糊集（对于Mamdani模型），指定与激活规则相关的控制行动的可能分布。</w:t>
      </w:r>
    </w:p>
    <w:p>
      <w:pPr>
        <w:numPr>
          <w:ilvl w:val="0"/>
          <w:numId w:val="1"/>
        </w:numPr>
        <w:ind w:left="624" w:leftChars="0" w:hanging="341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使用适当的去模糊器将修改后的模糊输出转换为非模糊（清晰）控制值，然后用于设置执行输出。</w:t>
      </w:r>
    </w:p>
    <w:p>
      <w:pPr>
        <w:spacing w:after="240"/>
        <w:ind w:left="7469" w:hanging="7469" w:hangingChars="31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第1部分 - 设计和实施FLC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（35分）</w:t>
      </w:r>
    </w:p>
    <w:p>
      <w:pPr>
        <w:spacing w:after="2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设计并实施一个可演示的FLC，可以是在Matlab、FuzzyLite或Juzzy中编程的模拟系统，请参阅以下链接：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Matlab模糊逻辑工具箱（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"http://uk.mathworks.com/videos/getting-started-with-fuzzy-logictoolbox-part-1-68764.html%EF%BC%89"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4472C4"/>
        </w:rPr>
        <w:t>http://uk.mathworks.com/videos/getting-started-with-fuzzy-logictoolbox-part-1-68764.html）</w:t>
      </w:r>
      <w:r>
        <w:rPr>
          <w:rFonts w:hint="eastAsia" w:ascii="宋体" w:hAnsi="宋体" w:eastAsia="宋体" w:cs="宋体"/>
          <w:color w:val="4472C4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Fuzzylite（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"http://www.fuzzylite.com"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4472C4"/>
        </w:rPr>
        <w:t>http://www.fuzzylite.com</w:t>
      </w:r>
      <w:r>
        <w:rPr>
          <w:rFonts w:hint="eastAsia" w:ascii="宋体" w:hAnsi="宋体" w:eastAsia="宋体" w:cs="宋体"/>
          <w:color w:val="4472C4"/>
        </w:rPr>
        <w:fldChar w:fldCharType="end"/>
      </w:r>
      <w:r>
        <w:rPr>
          <w:rFonts w:hint="eastAsia" w:ascii="宋体" w:hAnsi="宋体" w:eastAsia="宋体" w:cs="宋体"/>
        </w:rPr>
        <w:t>）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Juzzy（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"http://juzzy.wagnerweb.net"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4472C4"/>
        </w:rPr>
        <w:t>http://juzzy.wagnerweb.net</w:t>
      </w:r>
      <w:r>
        <w:rPr>
          <w:rFonts w:hint="eastAsia" w:ascii="宋体" w:hAnsi="宋体" w:eastAsia="宋体" w:cs="宋体"/>
          <w:color w:val="4472C4"/>
        </w:rPr>
        <w:fldChar w:fldCharType="end"/>
      </w:r>
      <w:r>
        <w:rPr>
          <w:rFonts w:hint="eastAsia" w:ascii="宋体" w:hAnsi="宋体" w:eastAsia="宋体" w:cs="宋体"/>
        </w:rPr>
        <w:t>）</w:t>
      </w:r>
    </w:p>
    <w:p>
      <w:pPr>
        <w:spacing w:after="240"/>
        <w:ind w:left="7700" w:hanging="7700" w:hangingChars="35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通过图表和不同组件的截图提供适当的实施证据。</w:t>
      </w:r>
    </w:p>
    <w:p>
      <w:pPr>
        <w:spacing w:after="240"/>
        <w:ind w:left="7700" w:leftChars="3400" w:hanging="220" w:hangingChars="1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（18分）</w:t>
      </w:r>
    </w:p>
    <w:p>
      <w:pPr>
        <w:spacing w:after="2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讨论并证明您在选择模糊集（隶属函数）、模糊规则、FLC推理机制和选择的去模糊化方法方面的设计决策。用适当的图表和截图支持您的解释。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</w:rPr>
        <w:t>（10分）</w:t>
      </w:r>
    </w:p>
    <w:p>
      <w:pPr>
        <w:spacing w:after="2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对控制器输出行为进行分析，展示规则激活、控制器输出和控制曲面图，演示控制器如何在操作场景中实现指定的行为。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                    </w:t>
      </w:r>
      <w:r>
        <w:rPr>
          <w:rFonts w:hint="eastAsia" w:ascii="宋体" w:hAnsi="宋体" w:eastAsia="宋体" w:cs="宋体"/>
        </w:rPr>
        <w:t>（7分）</w:t>
      </w:r>
    </w:p>
    <w:p>
      <w:pPr>
        <w:spacing w:after="240"/>
        <w:ind w:left="7469" w:hanging="7469" w:hangingChars="310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第2部分 - 比较CEC'2005函数的不同优化技术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</w:rPr>
        <w:t>（15分）</w:t>
      </w:r>
    </w:p>
    <w:p>
      <w:pPr>
        <w:spacing w:after="2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从CEC'2005套件的基准函数中选择三个函数：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"http://www.cmap.polytechnique.fr/nikolaus.hansen/Tech-Report-May-30-05.pdf"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4472C4"/>
        </w:rPr>
        <w:t>http://www.cmap.polytechnique.fr/nikolaus.hansen/Tech-Report-May-30-05.pdf</w:t>
      </w:r>
      <w:r>
        <w:rPr>
          <w:rFonts w:hint="eastAsia" w:ascii="宋体" w:hAnsi="宋体" w:eastAsia="宋体" w:cs="宋体"/>
          <w:color w:val="4472C4"/>
        </w:rPr>
        <w:fldChar w:fldCharType="end"/>
      </w:r>
    </w:p>
    <w:p>
      <w:pPr>
        <w:spacing w:after="2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更多关于CEC'2005特别会议的细节可以在这里找到：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"https://www.al-roomi.org/benchmarks/cec-database/cec-2005"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4472C4"/>
        </w:rPr>
        <w:t>https://www.al-roomi.org/benchmarks/cec-database/cec-2005</w:t>
      </w:r>
      <w:r>
        <w:rPr>
          <w:rFonts w:hint="eastAsia" w:ascii="宋体" w:hAnsi="宋体" w:eastAsia="宋体" w:cs="宋体"/>
          <w:color w:val="4472C4"/>
        </w:rPr>
        <w:fldChar w:fldCharType="end"/>
      </w:r>
    </w:p>
    <w:p>
      <w:pPr>
        <w:spacing w:after="2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这部分中，比较您选择的三个函数上至少三种不同优化技术的性能，对于D=2和D=10，其中D是维度数。如果愿意挑战自己，您可以尝试更高维度的空间，例如D=100，但这是可选的。作为比较的优化技术，您可以选择遗传算法、粒子群优化、模拟退火或MATLAB全局优化工具箱或优化工具箱中的其他优化方法，或者自行开发独立程序。</w:t>
      </w:r>
    </w:p>
    <w:p>
      <w:pPr>
        <w:spacing w:after="2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为了使比较具有意义，您需要分别运行每种优化算法15次，并报告平均性能（包括获得结果的标准偏差），以及15次运行中的最佳和最差表现。您可以尝试将结果与文献中相同函数的结果进行比较。</w:t>
      </w:r>
    </w:p>
    <w:p>
      <w:pPr>
        <w:spacing w:after="2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在报告中，应包括您选择的函数描述、这些函数的MATLAB代码、所获得的结果以及用于获得报告结果的优化算法的参数，以及在您的模拟中使用的任何其他MATLAB脚本或代码，收敛图等。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">
    <w:nsid w:val="F5C794EC"/>
    <w:multiLevelType w:val="singleLevel"/>
    <w:tmpl w:val="F5C79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624" w:leftChars="0" w:hanging="341" w:firstLineChars="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RlZTQ3MjU4Mzg1NWYxZjM1MjViNTRiNmQyOGMwNjgifQ=="/>
  </w:docVars>
  <w:rsids>
    <w:rsidRoot w:val="00000000"/>
    <w:rsid w:val="3150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1281</Words>
  <Characters>1677</Characters>
  <TotalTime>16</TotalTime>
  <ScaleCrop>false</ScaleCrop>
  <LinksUpToDate>false</LinksUpToDate>
  <CharactersWithSpaces>1681</CharactersWithSpaces>
  <Application>WPS Office_12.1.0.16894_F1E327BC-269C-435d-A152-05C5408002CA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2024-07-19T03:15:00Z</dcterms:created>
  <dc:creator>html-to-docx</dc:creator>
  <cp:keywords>html-to-docx</cp:keywords>
  <cp:lastModifiedBy>千朵</cp:lastModifiedBy>
  <dcterms:modified xsi:type="dcterms:W3CDTF">2024-07-21T15:23:53Z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2052-12.1.0.16894</vt:lpwstr>
  </property>
  <property fmtid="{D5CDD505-2E9C-101B-9397-08002B2CF9AE}" pid="3" name="ICV">
    <vt:lpwstr>B58643B6F8CB4B969A4E734D07553004_12</vt:lpwstr>
  </property>
</Properties>
</file>