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8A4C"/>
          <w:sz w:val="44"/>
        </w:rPr>
        <w:t>BLS — Nouvelle version (v2)</w:t>
      </w:r>
    </w:p>
    <w:p>
      <w:r>
        <w:rPr>
          <w:b/>
          <w:sz w:val="28"/>
        </w:rPr>
        <w:t>Demandes à l’équipe backend — mise à jour du 5 octobre 2026</w:t>
      </w:r>
    </w:p>
    <w:p>
      <w:pPr>
        <w:spacing w:after="80"/>
      </w:pPr>
      <w:r>
        <w:rPr>
          <w:b w:val="0"/>
          <w:i/>
        </w:rPr>
        <w:t>Suivi de la livraison multi-tenant et permissions, et défauts restant à corriger</w:t>
      </w:r>
    </w:p>
    <w:p>
      <w:pPr>
        <w:spacing w:after="80"/>
      </w:pPr>
      <w:r>
        <w:rPr>
          <w:b w:val="0"/>
          <w:i w:val="0"/>
        </w:rPr>
        <w:t>Destinataires : équipe backend (Laravel).</w:t>
      </w:r>
    </w:p>
    <w:p>
      <w:pPr>
        <w:spacing w:after="80"/>
      </w:pPr>
      <w:r>
        <w:rPr>
          <w:b w:val="0"/>
          <w:i w:val="0"/>
        </w:rPr>
        <w:t>Contexte : ce document remplace la version du 26 septembre. Le backend a livré l’essentiel des demandes (permissions, rôles, utilisateurs, filiales, multi-tenant, notifications). Le front v2 les consomme déjà. Il reste quelques défauts, dont plusieurs bloquent des fonctions réelles : ils sont listés en section 2, par priorité.</w:t>
      </w:r>
    </w:p>
    <w:p>
      <w:pPr>
        <w:spacing w:after="80"/>
      </w:pPr>
      <w:r>
        <w:rPr>
          <w:b w:val="0"/>
          <w:i w:val="0"/>
        </w:rPr>
        <w:t>Source des constats : tests du 5 octobre 2026 sur https://bls-demo.dreamxr.io/api (tenant bls-demo), avec un compte super_admin et un compte au rôle restreint (lecture seule contrats, contentieux, audit). Les colonnes « Cause probable » sont des hypothèses : je n’ai pas accès au code Laravel.</w:t>
      </w:r>
    </w:p>
    <w:p>
      <w:pPr>
        <w:pStyle w:val="Heading1"/>
      </w:pPr>
      <w:r>
        <w:rPr>
          <w:rFonts w:ascii="Calibri" w:hAnsi="Calibri"/>
          <w:color w:val="1F8A4C"/>
        </w:rPr>
        <w:t>1. Ce qui est livré et vérifié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color="auto" w:fill="D9EAD9"/>
          </w:tcPr>
          <w:p>
            <w:r/>
            <w:r>
              <w:rPr>
                <w:b/>
                <w:sz w:val="19"/>
              </w:rPr>
              <w:t>Demande</w:t>
            </w:r>
          </w:p>
        </w:tc>
        <w:tc>
          <w:tcPr>
            <w:tcW w:type="dxa" w:w="5556"/>
            <w:shd w:val="clear" w:color="auto" w:fill="D9EAD9"/>
          </w:tcPr>
          <w:p>
            <w:r/>
            <w:r>
              <w:rPr>
                <w:b/>
                <w:sz w:val="19"/>
              </w:rPr>
              <w:t>Constat côté front (5 octobre)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GET /current-user : permissions, roles, tenant, subsidiary, can_see_all_subsidiaries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OK. Le front masque modules, boutons et écrans selon les permissions (module.action) ; un compte en lecture seule ne voit plus aucune action d’écriture.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Rôles : GET/POST/PUT/DELETE /roles, corps { name, permissions: [uuid] }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OK. Création, modification, suppression ; suppression d’un rôle encore attribué : 409 avec message clair, affiché tel quel.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Utilisateurs : modification, désactivation, réactivation, réinitialisation, suppression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OK pour la création, la désactivation et la réactivation. La réinitialisation échoue (voir 2.1 a).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Filiales : PUT et DELETE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Livré et utilisé par le front ; non testé en réel le 5 octobre (le 409 avec utilisateurs rattachés est géré à l’écran).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Multi-tenant : en-tête X-Tenant et champ tenant au login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OK. Erreurs de connexion distinctes : identifiants invalides, tenant introuvable, serveur injoignable.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GET /tenant-config (public)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OK. Le front applique le nom, le logo (quand logo_url est renseigné), la langue par défaut et la devise.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GET /notifications : meta et unread_count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OK, le compteur de non lues n’est plus plafonné.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PUT /banks avec fichier via POST + _method=PUT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Utilisé ainsi par le front.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POST /litigation (création)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OK le 5 octobre : plus d’erreur 500 après création (C.1 pour ce cas).</w:t>
            </w:r>
          </w:p>
        </w:tc>
      </w:tr>
      <w:tr>
        <w:tc>
          <w:tcPr>
            <w:tcW w:type="dxa" w:w="4082"/>
          </w:tcPr>
          <w:p>
            <w:r/>
            <w:r>
              <w:rPr>
                <w:sz w:val="19"/>
              </w:rPr>
              <w:t>Format d’erreur : 401, 403 (code forbidden), 404, 409, 422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OK pour 403, 409 et 422 : le message du serveur est affiché à l’utilisateur.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8A4C"/>
        </w:rPr>
        <w:t>2. À corriger côté backend</w:t>
      </w:r>
    </w:p>
    <w:p>
      <w:pPr>
        <w:pStyle w:val="Heading2"/>
      </w:pPr>
      <w:r>
        <w:rPr>
          <w:rFonts w:ascii="Calibri" w:hAnsi="Calibri"/>
          <w:color w:val="1F8A4C"/>
        </w:rPr>
        <w:t>2.1 Priorité 1 — fonctions qui échouent</w:t>
      </w:r>
    </w:p>
    <w:p>
      <w:pPr>
        <w:spacing w:after="80"/>
      </w:pPr>
      <w:r>
        <w:rPr>
          <w:b/>
          <w:i w:val="0"/>
        </w:rPr>
        <w:t>a) Envoi d’e-mails impossible : configuration SMTP</w:t>
      </w:r>
    </w:p>
    <w:p>
      <w:pPr>
        <w:spacing w:after="80"/>
      </w:pPr>
      <w:r>
        <w:rPr>
          <w:b w:val="0"/>
          <w:i w:val="0"/>
        </w:rPr>
        <w:t>Constat : le fichier .env du serveur contient les valeurs de développement par défaut (MAIL_HOST=mailpit, MAIL_PORT=1025, MAIL_USERNAME=null, MAIL_PASSWORD=null, MAIL_FROM_ADDRESS=hello@example.com). Aucun serveur « mailpit » n’existe sur la machine. Conséquence : POST /users/{id}/reset-password échoue (le front affiche « Action impossible » ; erreur serveur probable, à confirmer dans laravel.log) ; la même cause est probable pour les transferts (voir b). Attendu : renseigner un vrai SMTP (MAIL_HOST, MAIL_PORT, MAIL_USERNAME, MAIL_PASSWORD, MAIL_ENCRYPTION, MAIL_FROM_ADDRESS au nom du tenant) puis php artisan config:clear. Pour la recette sans fournisseur : MAIL_MAILER=log, ou une boîte capturée (Mailpit installé sur le serveur).</w:t>
      </w:r>
    </w:p>
    <w:p>
      <w:pPr>
        <w:spacing w:after="80"/>
      </w:pPr>
      <w:r>
        <w:rPr>
          <w:b/>
          <w:i w:val="0"/>
        </w:rPr>
        <w:t>b) Transfert de contrat : erreur 500 alors que le transfert est enregistré</w:t>
      </w:r>
    </w:p>
    <w:p>
      <w:pPr>
        <w:spacing w:after="80"/>
      </w:pPr>
      <w:r>
        <w:rPr>
          <w:b w:val="0"/>
          <w:i w:val="0"/>
        </w:rPr>
        <w:t>Constat : le transfert d’un contrat (contrat a2e91092-0787-4e8a-827b-b48cc5840a9e, 5 octobre) renvoie « Une erreur interne est survenue » (500), mais le transfert est bien enregistré : l’historique des transferts apparaît ensuite. Le front annonce donc un échec alors que les données ont changé. Cause probable : une exception après l’écriture (notification e-mail synchrone, voir a). Attendu : envelopper l’opération dans DB::transaction (annulation complète en cas d’erreur) et envoyer les notifications en file d’attente (ShouldQueue), afin qu’un échec d’e-mail ne fasse pas échouer l’opération. Cela correspond à C.1 et C.2 de la version précédente, qui ne sont pas résolus pour ce cas.</w:t>
      </w:r>
    </w:p>
    <w:p>
      <w:pPr>
        <w:spacing w:after="80"/>
      </w:pPr>
      <w:r>
        <w:rPr>
          <w:b/>
          <w:i w:val="0"/>
        </w:rPr>
        <w:t>c) Fiche PDF d’un contrat : erreur 500</w:t>
      </w:r>
    </w:p>
    <w:p>
      <w:pPr>
        <w:spacing w:after="80"/>
      </w:pPr>
      <w:r>
        <w:rPr>
          <w:b w:val="0"/>
          <w:i w:val="0"/>
        </w:rPr>
        <w:t>Constat : GET /generate_pdf_fiche_suivi_contract?contract_id=a2e91092-0787-4e8a-827b-b48cc5840a9e renvoie 500 « Une erreur interne est survenue » (le front envoie bien contract_id, comme indiqué dans le guide, point C.3). Le contrat de test n’a pas de dates de signature, d’effet, d’expiration ni de renouvellement, mais deux parties, un document et une échéance : un contrat incomplet doit produire un PDF, pas une erreur. Attendu : relations chargées, valeurs nulles tolérées, et vraie cause journalisée dans storage/logs/laravel.log.</w:t>
      </w:r>
    </w:p>
    <w:p>
      <w:pPr>
        <w:spacing w:after="80"/>
      </w:pPr>
      <w:r>
        <w:rPr>
          <w:b/>
          <w:i w:val="0"/>
        </w:rPr>
        <w:t>d) GET /action_transfers : permission inexistante exigée</w:t>
      </w:r>
    </w:p>
    <w:p>
      <w:pPr>
        <w:spacing w:after="80"/>
      </w:pPr>
      <w:r>
        <w:rPr>
          <w:b w:val="0"/>
          <w:i w:val="0"/>
        </w:rPr>
        <w:t>Constat : la route exige la permission governance.forward, qui n’existe pas dans le catalogue (78 permissions : governance.create/read/update/delete, manage_attendance, manage_shareholding, print). Même le super_admin reçoit 403. Conséquence : la liste des transferts d’actions (Gouvernance › Actionnariat) est inaccessible. Attendu : soit créer governance.forward, soit faire protéger la route par une permission existante (governance.manage_shareholding). Merci de vérifier aussi les autres routes pour des codes de permission absents du catalogue.</w:t>
      </w:r>
    </w:p>
    <w:p>
      <w:pPr>
        <w:spacing w:after="80"/>
      </w:pPr>
      <w:r>
        <w:rPr>
          <w:b/>
          <w:i w:val="0"/>
        </w:rPr>
        <w:t>e) Rôles autres que super_admin sans aucune permission</w:t>
      </w:r>
    </w:p>
    <w:p>
      <w:pPr>
        <w:spacing w:after="80"/>
      </w:pPr>
      <w:r>
        <w:rPr>
          <w:b w:val="0"/>
          <w:i w:val="0"/>
        </w:rPr>
        <w:t>Constat : les rôles admin, collaborator, legal_director et manager ont 0 permission ; seul super_admin en a (78). Un compte rattaché à l’un de ces rôles ne peut rien faire dans l’application. Attendu : un jeu de permissions par défaut cohérent pour chaque rôle fourni à la création d’un tenant (seeders), à valider avec le métier.</w:t>
      </w:r>
    </w:p>
    <w:p>
      <w:pPr>
        <w:pStyle w:val="Heading2"/>
      </w:pPr>
      <w:r>
        <w:rPr>
          <w:rFonts w:ascii="Calibri" w:hAnsi="Calibri"/>
          <w:color w:val="1F8A4C"/>
        </w:rPr>
        <w:t>2.2 Priorité 2 — à confirmer ou à compléter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28"/>
            <w:shd w:val="clear" w:color="auto" w:fill="D9EAD9"/>
          </w:tcPr>
          <w:p>
            <w:r/>
            <w:r>
              <w:rPr>
                <w:b/>
                <w:sz w:val="19"/>
              </w:rPr>
              <w:t>Sujet</w:t>
            </w:r>
          </w:p>
        </w:tc>
        <w:tc>
          <w:tcPr>
            <w:tcW w:type="dxa" w:w="4649"/>
            <w:shd w:val="clear" w:color="auto" w:fill="D9EAD9"/>
          </w:tcPr>
          <w:p>
            <w:r/>
            <w:r>
              <w:rPr>
                <w:b/>
                <w:sz w:val="19"/>
              </w:rPr>
              <w:t>Constat</w:t>
            </w:r>
          </w:p>
        </w:tc>
        <w:tc>
          <w:tcPr>
            <w:tcW w:type="dxa" w:w="3061"/>
            <w:shd w:val="clear" w:color="auto" w:fill="D9EAD9"/>
          </w:tcPr>
          <w:p>
            <w:r/>
            <w:r>
              <w:rPr>
                <w:b/>
                <w:sz w:val="19"/>
              </w:rPr>
              <w:t>Demande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Transfert d’une tâche d’incident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Le front utilise désormais POST /task_incidents/{taskIncident}/transfer, mais le corps attendu n’est pas documenté. Il envoie forward_title, deadline_transfer, description et collaborators (ancien format). Non testé en réel : aucun incident n’a été créé sur la recette.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Documenter le corps et les réponses d’erreur ; confirmer les noms des champs.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Catalogue /permissions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Renvoie à la fois les codes actuels (module.action) et d’anciens codes à un seul mot (par exemple contract, role). Le front n’affiche que les premiers.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Retirer les anciens codes ou les marquer « legacy » ; ne conserver qu’un catalogue.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enabled_modules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Vide sur le tenant bls-demo. Le front l’interprète comme « aucun module désactivé ».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Confirmer cette sémantique ; sinon indiquer la liste exhaustive des identifiants de modules.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Résolution du tenant derrière un proxy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Le tenant est résolu par X-Tenant, puis le champ tenant, puis le premier libellé du Host (au moins trois parties). Derrière Nginx Proxy Manager, le Host n’est fiable que si TrustProxies accepte le proxy.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Confirmer TrustProxies ($proxies = '*') et documenter l’ordre de résolution ; le slug du tenant par défaut était « default » et a dû être renommé en « bls-demo ».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Format des erreurs 5xx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Le message générique est correct, mais sans champ code ni identifiant de corrélation.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Ajouter code et, si possible, un identifiant de requête retrouvable dans les journaux.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F8A4C"/>
        </w:rPr>
        <w:t>2.3 Priorité 3 — confort et tests</w:t>
      </w:r>
    </w:p>
    <w:p>
      <w:pPr>
        <w:pStyle w:val="ListBullet"/>
        <w:spacing w:after="40"/>
      </w:pPr>
      <w:r>
        <w:t>Suppressions : deux enregistrements de test ont été créés le 5 octobre et ne sont pas supprimables depuis l’application : le dossier de contentieux « TEST Dossier Alpha » (a2e8dd57-b67d-4f30-b99a-98c576e7dd9f), et le contrat « TEST Contrat Alpha » (a2e91092-0787-4e8a-827b-b48cc5840a9e, avec un événement et un transfert). Merci de les supprimer, et d’exposer DELETE avec suppression logique pour contentieux, contrats, garanties, recouvrements, audits, évaluations et veilles juridiques.</w:t>
      </w:r>
    </w:p>
    <w:p>
      <w:pPr>
        <w:pStyle w:val="ListBullet"/>
        <w:spacing w:after="40"/>
      </w:pPr>
      <w:r>
        <w:t>Second tenant : pour tester l’isolation des données, merci de fournir un second tenant de recette et, si possible, un compte plateforme (POST /tenants, GET /tenants). Je n’ai pas pu vérifier qu’un utilisateur d’un tenant ne voit rien d’un autre.</w:t>
      </w:r>
    </w:p>
    <w:p>
      <w:pPr>
        <w:pStyle w:val="ListBullet"/>
        <w:spacing w:after="40"/>
      </w:pPr>
      <w:r>
        <w:t>Environnement de recette avec boîte d’envoi capturée (Mailpit / Mailtrap) : évite d’écrire à de vraies personnes pendant les tests de transfert.</w:t>
      </w:r>
    </w:p>
    <w:p>
      <w:pPr>
        <w:pStyle w:val="Heading1"/>
      </w:pPr>
      <w:r>
        <w:rPr>
          <w:rFonts w:ascii="Calibri" w:hAnsi="Calibri"/>
          <w:color w:val="1F8A4C"/>
        </w:rPr>
        <w:t>3. État des défauts de la version précédente (C.1 à C.12)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color="auto" w:fill="D9EAD9"/>
          </w:tcPr>
          <w:p>
            <w:r/>
            <w:r>
              <w:rPr>
                <w:b/>
                <w:sz w:val="19"/>
              </w:rPr>
              <w:t>N°</w:t>
            </w:r>
          </w:p>
        </w:tc>
        <w:tc>
          <w:tcPr>
            <w:tcW w:type="dxa" w:w="3402"/>
            <w:shd w:val="clear" w:color="auto" w:fill="D9EAD9"/>
          </w:tcPr>
          <w:p>
            <w:r/>
            <w:r>
              <w:rPr>
                <w:b/>
                <w:sz w:val="19"/>
              </w:rPr>
              <w:t>Sujet</w:t>
            </w:r>
          </w:p>
        </w:tc>
        <w:tc>
          <w:tcPr>
            <w:tcW w:type="dxa" w:w="5443"/>
            <w:shd w:val="clear" w:color="auto" w:fill="D9EAD9"/>
          </w:tcPr>
          <w:p>
            <w:r/>
            <w:r>
              <w:rPr>
                <w:b/>
                <w:sz w:val="19"/>
              </w:rPr>
              <w:t>État au 5 octobre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Créations suivies d’une erreur 500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Contentieux : corrigé. Garanties et recouvrements : non revérifié. Même symptôme observé sur le transfert de contrat (2.1 b).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Transfert de contrat : relation nulle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Non résolu pour ce cas : erreur 500 (2.1 b).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Fiche PDF du contrat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Non résolu : erreur 500 (2.1 c).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C.4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Transfert incident : route dédiée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Route annoncée ; corps non documenté et non testé (2.2).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C.5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DELETE /ca_administrators/{id}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Non revérifié.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Présence : statut non conservé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Non revérifié.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C.7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Personne morale : deux enregistrements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Non revérifié.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C.8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Pourcentage d’actions ≥ 1 %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Non revérifié.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C.9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PUT /banks multipart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Contourné côté front (POST + _method=PUT).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C.10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Pagination des notifications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Corrigé.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C.11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file_url absolue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Non revérifié sur cette recette (l’aperçu des documents n’a pas été testé).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C.12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Gestionnaire d’erreurs uniforme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En grande partie : 403, 409 et 422 corrects ; 5xx sans champ code.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8A4C"/>
        </w:rPr>
        <w:t>4. Côté front : ce qui est fait</w:t>
      </w:r>
    </w:p>
    <w:p>
      <w:pPr>
        <w:pStyle w:val="ListBullet"/>
        <w:spacing w:after="40"/>
      </w:pPr>
      <w:r>
        <w:t>Aides can() et garde de pages ; menus, boutons de création, actions de lignes et de détail masqués selon les permissions de l’utilisateur.</w:t>
      </w:r>
    </w:p>
    <w:p>
      <w:pPr>
        <w:pStyle w:val="ListBullet"/>
        <w:spacing w:after="40"/>
      </w:pPr>
      <w:r>
        <w:t>Écrans d’administration : rôles (sélecteur de permissions groupé), utilisateurs, filiales ; messages 409 et 422 du serveur affichés tels quels.</w:t>
      </w:r>
    </w:p>
    <w:p>
      <w:pPr>
        <w:pStyle w:val="ListBullet"/>
        <w:spacing w:after="40"/>
      </w:pPr>
      <w:r>
        <w:t>Tenant : X-Tenant sur chaque appel ; nom, logo, langue et devise issus de /tenant-config ; déconnexion automatique avec message sur un 401.</w:t>
      </w:r>
    </w:p>
    <w:p>
      <w:pPr>
        <w:pStyle w:val="ListBullet"/>
        <w:spacing w:after="40"/>
      </w:pPr>
      <w:r>
        <w:t>Notifications paginées avec compteur de non lues ; transfert d’incident via la route dédiée.</w:t>
      </w:r>
    </w:p>
    <w:p>
      <w:pPr>
        <w:pStyle w:val="ListBullet"/>
        <w:spacing w:after="40"/>
      </w:pPr>
      <w:r>
        <w:t>Vérifié en réel le 5 octobre avec un compte super_admin et un compte au rôle restreint sur les pages contentieux et contrat ; les autres pages de détail (audit, évaluation, incident, recouvrement, sûreté, gouvernance) sont couvertes par la même logique mais pas encore testées avec des données.</w:t>
      </w:r>
    </w:p>
    <w:p>
      <w:pPr>
        <w:pStyle w:val="Heading1"/>
      </w:pPr>
      <w:r>
        <w:rPr>
          <w:rFonts w:ascii="Calibri" w:hAnsi="Calibri"/>
          <w:color w:val="1F8A4C"/>
        </w:rPr>
        <w:t>5. Ordre de traitement proposé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shd w:val="clear" w:color="auto" w:fill="D9EAD9"/>
          </w:tcPr>
          <w:p>
            <w:r/>
            <w:r>
              <w:rPr>
                <w:b/>
                <w:sz w:val="19"/>
              </w:rPr>
              <w:t>Étape</w:t>
            </w:r>
          </w:p>
        </w:tc>
        <w:tc>
          <w:tcPr>
            <w:tcW w:type="dxa" w:w="4535"/>
            <w:shd w:val="clear" w:color="auto" w:fill="D9EAD9"/>
          </w:tcPr>
          <w:p>
            <w:r/>
            <w:r>
              <w:rPr>
                <w:b/>
                <w:sz w:val="19"/>
              </w:rPr>
              <w:t>Contenu</w:t>
            </w:r>
          </w:p>
        </w:tc>
        <w:tc>
          <w:tcPr>
            <w:tcW w:type="dxa" w:w="4195"/>
            <w:shd w:val="clear" w:color="auto" w:fill="D9EAD9"/>
          </w:tcPr>
          <w:p>
            <w:r/>
            <w:r>
              <w:rPr>
                <w:b/>
                <w:sz w:val="19"/>
              </w:rPr>
              <w:t>Effet côté front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2.1 a (SMTP)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Réinitialisation de mot de passe et notifications fonctionnelles.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2.1 b, c (transfert de contrat, PDF)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Plus de faux échecs ; fiche PDF imprimable.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2.1 d, e (action_transfers, permissions par défaut des rôles)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Actionnariat complet ; rôles utilisables sans passer par super_admin.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2.2 (incident, catalogue, modules, 5xx)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Transfert d’incident validé ; catalogue propre.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2.3 (suppression des tests, second tenant, recette)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Tests d’isolation et nettoyage.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Ce que je fournis en retour : dès que 2.1 a à c sont corrigés, je rejoue les scénarios (réinitialisation, transfert, impression) et je confirme point par point ; je teste ensuite le second tenant.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