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17CD" w14:textId="05E91039" w:rsidR="00C8241D" w:rsidRPr="00C8241D" w:rsidRDefault="00C8241D" w:rsidP="00C8241D">
      <w:pPr>
        <w:pStyle w:val="Title"/>
      </w:pPr>
      <w:r>
        <w:rPr>
          <w:rFonts w:ascii="Times New Roman" w:hAnsi="Times New Roman" w:eastAsia="Times New Roman" w:cs="Times New Roman"/>
          <w:b/>
          <w:sz w:val="28"/>
          <w:szCs w:val="28"/>
        </w:rPr>
        <w:t>CHORUS: Hermitian Density Operators for Equivariant Interatomic Potentials</w:t>
      </w:r>
    </w:p>
    <w:p w14:paraId="1861E167" w14:textId="45808495" w:rsidR="00C8241D" w:rsidRPr="00C8241D" w:rsidRDefault="00C8241D" w:rsidP="00C8241D">
      <w:pPr>
        <w:widowControl w:val="0"/>
        <w:spacing w:beforeLines="50" w:before="120" w:after="0" w:line="300" w:lineRule="auto"/>
        <w:ind w:right="-357"/>
        <w:jc w:val="center"/>
        <w:rPr>
          <w:rFonts w:ascii="Times New Roman" w:eastAsia="SimSun" w:hAnsi="Times New Roman" w:cs="Times New Roman"/>
          <w:b/>
          <w:bCs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u w:val="single"/>
          <w:sz w:val="21"/>
          <w:szCs w:val="21"/>
        </w:rPr>
        <w:t>Ruixiang Lin</w:t>
      </w:r>
      <w:r>
        <w:rPr>
          <w:rFonts w:ascii="Times New Roman" w:hAnsi="Times New Roman" w:eastAsia="Times New Roman" w:cs="Times New Roman"/>
          <w:b/>
          <w:vertAlign w:val="superscript"/>
          <w:sz w:val="21"/>
          <w:szCs w:val="21"/>
        </w:rPr>
        <w:t>1,2,*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,  Guang-Jie Xia</w:t>
      </w:r>
      <w:r>
        <w:rPr>
          <w:rFonts w:ascii="Times New Roman" w:hAnsi="Times New Roman" w:eastAsia="Times New Roman" w:cs="Times New Roman"/>
          <w:b/>
          <w:vertAlign w:val="superscript"/>
          <w:sz w:val="21"/>
          <w:szCs w:val="21"/>
        </w:rPr>
        <w:t>2</w:t>
      </w:r>
    </w:p>
    <w:p w14:paraId="7E10DC4B" w14:textId="6E6B3500" w:rsidR="00C8241D" w:rsidRPr="00C8241D" w:rsidRDefault="00C8241D" w:rsidP="00C8241D">
      <w:pPr>
        <w:spacing w:after="0" w:line="300" w:lineRule="auto"/>
        <w:jc w:val="center"/>
        <w:rPr>
          <w:rFonts w:ascii="Times New Roman" w:eastAsia="SimSun" w:hAnsi="Times New Roman" w:cs="Times New Roman" w:hint="eastAsia"/>
          <w:bCs/>
          <w:kern w:val="0"/>
          <w:sz w:val="21"/>
          <w:szCs w:val="21"/>
          <w:lang w:val="en-GB"/>
          <w14:ligatures w14:val="none"/>
        </w:rPr>
      </w:pPr>
      <w:r>
        <w:rPr>
          <w:rFonts w:ascii="Times New Roman" w:hAnsi="Times New Roman" w:eastAsia="Times New Roman" w:cs="Times New Roman"/>
          <w:vertAlign w:val="superscript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Guangzhou Parity Materials Co., Ltd., 76 Huangpu Avenue, Guangzhou 510623, China</w:t>
      </w:r>
    </w:p>
    <w:p w14:paraId="67E02C12" w14:textId="51D61A08" w:rsidR="00C8241D" w:rsidRPr="00C8241D" w:rsidRDefault="00C8241D" w:rsidP="00C8241D">
      <w:pPr>
        <w:spacing w:after="0" w:line="300" w:lineRule="auto"/>
        <w:jc w:val="center"/>
        <w:rPr>
          <w:rFonts w:ascii="Times New Roman" w:eastAsia="SimSun" w:hAnsi="Times New Roman" w:cs="Times New Roman"/>
          <w:bCs/>
          <w:kern w:val="0"/>
          <w:sz w:val="21"/>
          <w:szCs w:val="21"/>
          <w:lang w:val="en-AU" w:eastAsia="en-US"/>
          <w14:ligatures w14:val="none"/>
        </w:rPr>
      </w:pPr>
      <w:r>
        <w:rPr>
          <w:rFonts w:ascii="Times New Roman" w:hAnsi="Times New Roman" w:eastAsia="Times New Roman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Center for Intelligent Computing, Great Bay Institute for Advanced Study, Great Bay University, Dongguan 523000, China</w:t>
      </w:r>
    </w:p>
    <w:p w14:paraId="22DC7958" w14:textId="12F66437" w:rsidR="00C8241D" w:rsidRPr="00C8241D" w:rsidRDefault="00C8241D" w:rsidP="00C8241D">
      <w:pPr>
        <w:spacing w:after="240" w:line="300" w:lineRule="auto"/>
        <w:jc w:val="center"/>
        <w:rPr>
          <w:rFonts w:ascii="Times New Roman" w:eastAsia="SimSun" w:hAnsi="Times New Roman" w:cs="Times New Roman"/>
          <w:bCs/>
          <w:kern w:val="0"/>
          <w:sz w:val="21"/>
          <w:szCs w:val="21"/>
          <w:lang w:val="en-GB" w:eastAsia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* Email: lin2428954396@gmail.com</w:t>
      </w:r>
    </w:p>
    <w:p w14:paraId="203529C7" w14:textId="48CB5F1C" w:rsidR="00C8241D" w:rsidRPr="00C8241D" w:rsidRDefault="00C8241D" w:rsidP="00C8241D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Abstract:</w:t>
      </w:r>
    </w:p>
    <w:p w14:paraId="7F27D9F1" w14:textId="64E0AFE0" w:rsidR="00C8241D" w:rsidRPr="00C8241D" w:rsidRDefault="00C8241D" w:rsidP="00C8241D">
      <w:pPr>
        <w:widowControl w:val="0"/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Equivariant interatomic potentials have transformed molecular and materials simulation by encoding rotational symmetry directly into neural representations. Yet most practical architectures compress edge-resolved messages through neighbour summation. This fixed-dimensional reduction is non-injective for unrestricted continuous messages and discards second-order statistics that cannot be reconstructed downstream [3]. We introduce CHORUS, a low-rank Hermitian density operator that acts before aggregation. Its phase-independent diagonal preserves amplitude-weighted edge self-products, while an optional off-diagonal completion couples distinct neighbours through learned relative phases without explicit neighbour-pair enumeration. Because the output retains the host network’s O(3) irreducible representation types, CHORUS transfers directly between irreducible-Cartesian MACE and spherical-harmonic NequIP [1,2]. A directed-acyclic-graph-organised study of 240 independently trained models separates component interventions from fitted-model probes [4]. Activating the phase-free self-density module reduces equal-dataset geometric-mean relative force error by 9.07% in MACE-ICTC and 18.33% in NequIP, improving all 20 paired runs in each backbone. Cross-neighbour completion provides an additional architecture-dependent gain, whereas learned phase is strongly used by fitted models but contributes a smaller retraining increment. At fixed width, angular resolution and interaction depth, lower-order ν = 2 CHORUS-Persistent outperforms the higher-order ν = 3 host without CHORUS on all four molecular datasets, with a 6.45% equal-dataset geometric-mean relative reduction in force MAE. This cross-order dominance shows that richer pre-sum statistics complement rather than merely duplicate post-sum correlation order. Complete CHORUS models also improve both MACE and NequIP on two MS25 solid-state domains [5]. On Zr–O, MACE-CHORUS-Persistent achieves the lowest tested force error; four implementations also lie on at least one force-first accuracy–cost Pareto frontier. These results establish pre-aggregation Hermitian self-density as a portable design principle for accurate and efficient equivariant interatomic potentials.</w:t>
      </w:r>
    </w:p>
    <w:p w14:paraId="06C6FACF" w14:textId="35D4AB98" w:rsidR="00C8241D" w:rsidRPr="00C8241D" w:rsidRDefault="00C8241D" w:rsidP="00C8241D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Keywords: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equivariant interatomic potential, Hermitian self-density, directed acyclic graph, neighbour aggregation</w:t>
      </w:r>
    </w:p>
    <w:p w14:paraId="10EAC08E" w14:textId="442EEFCF" w:rsidR="00D66785" w:rsidRPr="00C8241D" w:rsidRDefault="00D66785" w:rsidP="00D66785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References: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S. Batzner, A. Musaelian, L. Sun, M. Geiger, J. P. Mailoa, M. Kornbluth, N. Molinari, T. E. Smidt and B. Kozinsky,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Nat. Commun.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2022,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13,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2453.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I. Batatia, D. P. Kovács, G. N. C. Simm, C. Ortner and G. Csányi,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Adv. Neural Inf. Process. Syst.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2022,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35,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11423–11436.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S. N. Pozdnyakov, M. J. Willatt, A. P. Bartók, C. Ortner, G. Csányi and M. Ceriotti,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Phys. Rev. Lett.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2020,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125,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166001.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J. Pearl,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Biometrika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1995,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82,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669–688.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T. Maxson, A. Soyemi, X. Zhang, B. W. J. Chen and T. Szilvási,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J. Chem. Inf. Model.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2025,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65,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8097–8112.</w:t>
      </w:r>
    </w:p>
    <w:sectPr w:rsidR="00C8241D" w:rsidRPr="00D66785" w:rsidSect="00C824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A5DF" w14:textId="77777777" w:rsidR="0048776E" w:rsidRDefault="0048776E" w:rsidP="00C8241D">
      <w:pPr>
        <w:spacing w:after="0" w:line="240" w:lineRule="auto"/>
      </w:pPr>
      <w:r>
        <w:separator/>
      </w:r>
    </w:p>
  </w:endnote>
  <w:endnote w:type="continuationSeparator" w:id="0">
    <w:p w14:paraId="65505FA9" w14:textId="77777777" w:rsidR="0048776E" w:rsidRDefault="0048776E" w:rsidP="00C8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2869" w14:textId="77777777" w:rsidR="00A62C73" w:rsidRDefault="00A62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776B" w14:textId="77777777" w:rsidR="00A62C73" w:rsidRDefault="00A62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9920" w14:textId="77777777" w:rsidR="00A62C73" w:rsidRDefault="00A62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FB19" w14:textId="77777777" w:rsidR="0048776E" w:rsidRDefault="0048776E" w:rsidP="00C8241D">
      <w:pPr>
        <w:spacing w:after="0" w:line="240" w:lineRule="auto"/>
      </w:pPr>
      <w:r>
        <w:separator/>
      </w:r>
    </w:p>
  </w:footnote>
  <w:footnote w:type="continuationSeparator" w:id="0">
    <w:p w14:paraId="1D2F5646" w14:textId="77777777" w:rsidR="0048776E" w:rsidRDefault="0048776E" w:rsidP="00C82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AF70" w14:textId="77777777" w:rsidR="00A62C73" w:rsidRDefault="00A62C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94"/>
      <w:gridCol w:w="2902"/>
      <w:gridCol w:w="3650"/>
    </w:tblGrid>
    <w:tr w:rsidR="00D66785" w14:paraId="3A1D8E71" w14:textId="77777777" w:rsidTr="00D66785">
      <w:trPr>
        <w:jc w:val="center"/>
      </w:trPr>
      <w:tc>
        <w:tcPr>
          <w:tcW w:w="3194" w:type="dxa"/>
          <w:vAlign w:val="center"/>
        </w:tcPr>
        <w:p w14:paraId="09EEAD84" w14:textId="12E336AF" w:rsidR="00D66785" w:rsidRDefault="00D66785" w:rsidP="00D66785">
          <w:pPr>
            <w:pStyle w:val="Header"/>
            <w:tabs>
              <w:tab w:val="clear" w:pos="9360"/>
              <w:tab w:val="left" w:pos="7449"/>
            </w:tabs>
          </w:pPr>
          <w:r w:rsidRPr="006B639B">
            <w:rPr>
              <w:rFonts w:cs="Arial"/>
              <w:noProof/>
              <w:lang w:val="en-US"/>
            </w:rPr>
            <w:drawing>
              <wp:inline distT="0" distB="0" distL="0" distR="0" wp14:anchorId="31B5A640" wp14:editId="20B7B474">
                <wp:extent cx="1499296" cy="432000"/>
                <wp:effectExtent l="0" t="0" r="0" b="0"/>
                <wp:docPr id="59601962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019628" name="Graphic 59601962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9296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2" w:type="dxa"/>
          <w:vAlign w:val="center"/>
        </w:tcPr>
        <w:p w14:paraId="24834A04" w14:textId="5220DD50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</w:p>
      </w:tc>
      <w:tc>
        <w:tcPr>
          <w:tcW w:w="3650" w:type="dxa"/>
          <w:vAlign w:val="center"/>
        </w:tcPr>
        <w:p w14:paraId="5BBB439C" w14:textId="4A6A2876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  <w:r>
            <w:rPr>
              <w:rFonts w:cs="Arial"/>
              <w:b/>
              <w:bCs/>
              <w:noProof/>
              <w:lang w:val="en-US"/>
            </w:rPr>
            <w:drawing>
              <wp:inline distT="0" distB="0" distL="0" distR="0" wp14:anchorId="659F12A7" wp14:editId="4E61B9E0">
                <wp:extent cx="1270098" cy="354000"/>
                <wp:effectExtent l="0" t="0" r="0" b="1905"/>
                <wp:docPr id="102888955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88955" name="Graphic 8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98" cy="3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66785" w14:paraId="22215185" w14:textId="77777777" w:rsidTr="00D66785">
      <w:trPr>
        <w:jc w:val="center"/>
      </w:trPr>
      <w:tc>
        <w:tcPr>
          <w:tcW w:w="9746" w:type="dxa"/>
          <w:gridSpan w:val="3"/>
        </w:tcPr>
        <w:p w14:paraId="1E2F92D9" w14:textId="2137220C" w:rsidR="00D66785" w:rsidRPr="006E0614" w:rsidRDefault="006E0614" w:rsidP="00A62C73">
          <w:pPr>
            <w:pStyle w:val="Header"/>
            <w:tabs>
              <w:tab w:val="clear" w:pos="9360"/>
              <w:tab w:val="left" w:pos="7449"/>
            </w:tabs>
            <w:spacing w:before="240" w:after="120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B21EB97" wp14:editId="7AB2F1F5">
                <wp:extent cx="3848001" cy="216000"/>
                <wp:effectExtent l="0" t="0" r="635" b="0"/>
                <wp:docPr id="58830074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300749" name="Graphic 588300749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001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1048BF" w14:textId="4D8DDE08" w:rsidR="00C8241D" w:rsidRDefault="00C8241D" w:rsidP="00D66785">
    <w:pPr>
      <w:pStyle w:val="Header"/>
      <w:tabs>
        <w:tab w:val="clear" w:pos="9360"/>
        <w:tab w:val="left" w:pos="744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AE6C" w14:textId="77777777" w:rsidR="00A62C73" w:rsidRDefault="00A62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FF1"/>
    <w:multiLevelType w:val="hybridMultilevel"/>
    <w:tmpl w:val="782CA6CA"/>
    <w:lvl w:ilvl="0" w:tplc="DAC67A2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D0CB6"/>
    <w:multiLevelType w:val="hybridMultilevel"/>
    <w:tmpl w:val="2110C9D6"/>
    <w:lvl w:ilvl="0" w:tplc="D7DA74A2">
      <w:start w:val="1"/>
      <w:numFmt w:val="decimal"/>
      <w:lvlText w:val="[%1]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3525">
    <w:abstractNumId w:val="0"/>
  </w:num>
  <w:num w:numId="2" w16cid:durableId="160834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1D"/>
    <w:rsid w:val="00114D29"/>
    <w:rsid w:val="0048776E"/>
    <w:rsid w:val="006E0614"/>
    <w:rsid w:val="007969C8"/>
    <w:rsid w:val="007C39D5"/>
    <w:rsid w:val="00A62C73"/>
    <w:rsid w:val="00B32F95"/>
    <w:rsid w:val="00C8241D"/>
    <w:rsid w:val="00D6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8B2CB"/>
  <w15:chartTrackingRefBased/>
  <w15:docId w15:val="{4BF8FB87-1668-3F45-AC2F-F6723793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85"/>
  </w:style>
  <w:style w:type="paragraph" w:styleId="Heading1">
    <w:name w:val="heading 1"/>
    <w:basedOn w:val="Normal"/>
    <w:next w:val="Normal"/>
    <w:link w:val="Heading1Char"/>
    <w:uiPriority w:val="9"/>
    <w:qFormat/>
    <w:rsid w:val="00C8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1D"/>
    <w:pPr>
      <w:widowControl w:val="0"/>
      <w:autoSpaceDE w:val="0"/>
      <w:autoSpaceDN w:val="0"/>
      <w:spacing w:before="120" w:after="120" w:line="300" w:lineRule="auto"/>
      <w:jc w:val="center"/>
    </w:pPr>
    <w:rPr>
      <w:rFonts w:ascii="Arial" w:eastAsia="SimSun" w:hAnsi="Arial" w:cs="Arial"/>
      <w:b/>
      <w:sz w:val="28"/>
      <w:szCs w:val="28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241D"/>
    <w:rPr>
      <w:rFonts w:ascii="Arial" w:eastAsia="SimSun" w:hAnsi="Arial" w:cs="Arial"/>
      <w:b/>
      <w:sz w:val="28"/>
      <w:szCs w:val="28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41D"/>
  </w:style>
  <w:style w:type="paragraph" w:styleId="Footer">
    <w:name w:val="footer"/>
    <w:basedOn w:val="Normal"/>
    <w:link w:val="Foot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1D"/>
  </w:style>
  <w:style w:type="table" w:styleId="TableGrid">
    <w:name w:val="Table Grid"/>
    <w:basedOn w:val="TableNormal"/>
    <w:uiPriority w:val="39"/>
    <w:rsid w:val="00D6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Justin Xu</cp:lastModifiedBy>
  <cp:revision>5</cp:revision>
  <cp:lastPrinted>2026-04-21T13:56:00Z</cp:lastPrinted>
  <dcterms:created xsi:type="dcterms:W3CDTF">2025-07-01T09:46:00Z</dcterms:created>
  <dcterms:modified xsi:type="dcterms:W3CDTF">2026-04-21T13:56:00Z</dcterms:modified>
</cp:coreProperties>
</file>