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left"/>
      </w:pPr>
      <w:r>
        <w:rPr>
          <w:rFonts w:ascii="Noto Sans CJK KR" w:cs="Noto Sans CJK KR" w:eastAsia="Noto Sans CJK KR" w:hAnsi="Noto Sans CJK KR"/>
          <w:b/>
          <w:bCs/>
          <w:color w:val="2E4A62"/>
          <w:sz w:val="40"/>
          <w:szCs w:val="40"/>
        </w:rPr>
        <w:t xml:space="preserve">DTTM 6국면 상세 조작적 명세서</w:t>
      </w:r>
    </w:p>
    <w:p>
      <w:pPr>
        <w:spacing w:after="120"/>
      </w:pPr>
      <w:r>
        <w:rPr>
          <w:rFonts w:ascii="Noto Sans CJK KR" w:cs="Noto Sans CJK KR" w:eastAsia="Noto Sans CJK KR" w:hAnsi="Noto Sans CJK KR"/>
          <w:color w:val="2E4A62"/>
          <w:sz w:val="26"/>
          <w:szCs w:val="26"/>
        </w:rPr>
        <w:t xml:space="preserve">제2판 · 2층 상태공간, 증거 양식, 검정 가능한 반증 기준</w:t>
      </w:r>
    </w:p>
    <w:p>
      <w:pPr>
        <w:pBdr>
          <w:bottom w:val="single" w:color="C9D3DD" w:sz="4" w:space="8"/>
        </w:pBdr>
        <w:spacing w:after="280"/>
      </w:pPr>
      <w:r>
        <w:rPr>
          <w:rFonts w:ascii="Noto Sans CJK KR" w:cs="Noto Sans CJK KR" w:eastAsia="Noto Sans CJK KR" w:hAnsi="Noto Sans CJK KR"/>
          <w:color w:val="5A6B7B"/>
          <w:sz w:val="18"/>
          <w:szCs w:val="18"/>
        </w:rPr>
        <w:t xml:space="preserve">연구용 개정 초안  |  2026년 9월 27일  |  「DTTM 6국면 상세 조작적 명세서」(연구용 확장 초안)를 개정</w:t>
      </w:r>
    </w:p>
    <w:p>
      <w:pPr>
        <w:spacing w:after="120" w:line="300"/>
        <w:jc w:val="both"/>
      </w:pPr>
      <w:r>
        <w:rPr>
          <w:rFonts w:ascii="Noto Sans CJK KR" w:cs="Noto Sans CJK KR" w:eastAsia="Noto Sans CJK KR" w:hAnsi="Noto Sans CJK KR"/>
          <w:sz w:val="20"/>
          <w:szCs w:val="20"/>
        </w:rPr>
        <w:t xml:space="preserve">이 판본은 동태적 임계전이모형(DTTM)의 여섯 국면을 측정·판정·검정 절차와 하나의 체계로 연결하기 위한 연구용 기준이다. 제1판 초안이 확립한 원칙—국면을 점수 순서로 강제하지 않는다, 상태와 사건을 구별한다, 비용식을 순환적으로 측정하지 않는다—은 그대로 유지한다. 제2판은 그 위에 세 가지를 보완한다.</w:t>
      </w:r>
    </w:p>
    <w:p>
      <w:pPr>
        <w:pStyle w:val="ListParagraph"/>
        <w:numPr>
          <w:ilvl w:val="0"/>
          <w:numId w:val="2"/>
        </w:numPr>
        <w:spacing w:after="80" w:line="290"/>
      </w:pPr>
      <w:r>
        <w:rPr>
          <w:rFonts w:ascii="Noto Sans CJK KR" w:cs="Noto Sans CJK KR" w:eastAsia="Noto Sans CJK KR" w:hAnsi="Noto Sans CJK KR"/>
          <w:b/>
          <w:bCs/>
          <w:sz w:val="20"/>
          <w:szCs w:val="20"/>
        </w:rPr>
        <w:t xml:space="preserve">구조의 명료화.</w:t>
      </w:r>
      <w:r>
        <w:rPr>
          <w:rFonts w:ascii="Noto Sans CJK KR" w:cs="Noto Sans CJK KR" w:eastAsia="Noto Sans CJK KR" w:hAnsi="Noto Sans CJK KR"/>
          <w:sz w:val="20"/>
          <w:szCs w:val="20"/>
        </w:rPr>
        <w:t xml:space="preserve"> 5개 잠재 국면과 1개 사건을 “체제(R) × 국면(P)”의 2층 상태공간으로 재정의하여, E1을 상태가 아닌 체제 간 전환으로 규정한다.</w:t>
      </w:r>
    </w:p>
    <w:p>
      <w:pPr>
        <w:pStyle w:val="ListParagraph"/>
        <w:numPr>
          <w:ilvl w:val="0"/>
          <w:numId w:val="2"/>
        </w:numPr>
        <w:spacing w:after="80" w:line="290"/>
      </w:pPr>
      <w:r>
        <w:rPr>
          <w:rFonts w:ascii="Noto Sans CJK KR" w:cs="Noto Sans CJK KR" w:eastAsia="Noto Sans CJK KR" w:hAnsi="Noto Sans CJK KR"/>
          <w:b/>
          <w:bCs/>
          <w:sz w:val="20"/>
          <w:szCs w:val="20"/>
        </w:rPr>
        <w:t xml:space="preserve">증거 양식의 분리.</w:t>
      </w:r>
      <w:r>
        <w:rPr>
          <w:rFonts w:ascii="Noto Sans CJK KR" w:cs="Noto Sans CJK KR" w:eastAsia="Noto Sans CJK KR" w:hAnsi="Noto Sans CJK KR"/>
          <w:sz w:val="20"/>
          <w:szCs w:val="20"/>
        </w:rPr>
        <w:t xml:space="preserve"> 국면마다 요구되는 증거의 종류(수준·동태·사건)가 다르다는 점을 명시하고, 설문 문항이 직접 지표인지 대리 지표인지 구분한다.</w:t>
      </w:r>
    </w:p>
    <w:p>
      <w:pPr>
        <w:pStyle w:val="ListParagraph"/>
        <w:numPr>
          <w:ilvl w:val="0"/>
          <w:numId w:val="2"/>
        </w:numPr>
        <w:spacing w:after="80" w:line="290"/>
      </w:pPr>
      <w:r>
        <w:rPr>
          <w:rFonts w:ascii="Noto Sans CJK KR" w:cs="Noto Sans CJK KR" w:eastAsia="Noto Sans CJK KR" w:hAnsi="Noto Sans CJK KR"/>
          <w:b/>
          <w:bCs/>
          <w:sz w:val="20"/>
          <w:szCs w:val="20"/>
        </w:rPr>
        <w:t xml:space="preserve">반증의 검정화.</w:t>
      </w:r>
      <w:r>
        <w:rPr>
          <w:rFonts w:ascii="Noto Sans CJK KR" w:cs="Noto Sans CJK KR" w:eastAsia="Noto Sans CJK KR" w:hAnsi="Noto Sans CJK KR"/>
          <w:sz w:val="20"/>
          <w:szCs w:val="20"/>
        </w:rPr>
        <w:t xml:space="preserve"> 각 반증 조건을 모형 비교, 계수 제약, 예측타당도 검정으로 번역하고 기각 기준을 사전에 정한다.</w:t>
      </w:r>
    </w:p>
    <w:p>
      <w:pPr>
        <w:spacing w:after="120" w:line="300"/>
        <w:jc w:val="both"/>
      </w:pPr>
      <w:r>
        <w:rPr>
          <w:rFonts w:ascii="Noto Sans CJK KR" w:cs="Noto Sans CJK KR" w:eastAsia="Noto Sans CJK KR" w:hAnsi="Noto Sans CJK KR"/>
          <w:color w:val="5A6B7B"/>
          <w:sz w:val="18"/>
          <w:szCs w:val="18"/>
        </w:rPr>
        <w:t xml:space="preserve">모든 정의·문항·절단점은 타당화 전의 가설이다. 본문의 수치(예: 사후확률 .70)는 사전등록을 위한 잠정값이며 민감도 분석 대상이다.</w:t>
      </w:r>
    </w:p>
    <w:p>
      <w:pPr>
        <w:pStyle w:val="Heading1"/>
        <w:pBdr>
          <w:bottom w:val="single" w:color="2E4A62" w:sz="6" w:space="4"/>
        </w:pBdr>
        <w:spacing w:after="160" w:before="360"/>
      </w:pPr>
      <w:r>
        <w:rPr>
          <w:rFonts w:ascii="Noto Sans CJK KR" w:cs="Noto Sans CJK KR" w:eastAsia="Noto Sans CJK KR" w:hAnsi="Noto Sans CJK KR"/>
          <w:b/>
          <w:bCs/>
          <w:color w:val="2E4A62"/>
          <w:sz w:val="28"/>
          <w:szCs w:val="28"/>
        </w:rPr>
        <w:t xml:space="preserve">0  개정 요지</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7"/>
        <w:gridCol w:w="3534"/>
        <w:gridCol w:w="4419"/>
      </w:tblGrid>
      <w:tr>
        <w:trPr>
          <w:tblHeader/>
        </w:trPr>
        <w:tc>
          <w:tcPr>
            <w:tcW w:type="dxa" w:w="1767"/>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쟁점</w:t>
            </w:r>
          </w:p>
        </w:tc>
        <w:tc>
          <w:tcPr>
            <w:tcW w:type="dxa" w:w="353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제1판 초안</w:t>
            </w:r>
          </w:p>
        </w:tc>
        <w:tc>
          <w:tcPr>
            <w:tcW w:type="dxa" w:w="4419"/>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제2판</w:t>
            </w:r>
          </w:p>
        </w:tc>
      </w:tr>
      <w:tr>
        <w:tc>
          <w:tcPr>
            <w:tcW w:type="dxa" w:w="1767"/>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국면 구조</w:t>
            </w:r>
          </w:p>
        </w:tc>
        <w:tc>
          <w:tcPr>
            <w:tcW w:type="dxa" w:w="353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5개 잠재 국면 + E1 사건을 “6국면”으로 병렬 제시</w:t>
            </w:r>
          </w:p>
        </w:tc>
        <w:tc>
          <w:tcPr>
            <w:tcW w:type="dxa" w:w="4419"/>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체제 층(기존/신규)과 국면 층의 2층 상태공간. E1은 체제 전환(edge)</w:t>
            </w:r>
          </w:p>
        </w:tc>
      </w:tr>
      <w:tr>
        <w:tc>
          <w:tcPr>
            <w:tcW w:type="dxa" w:w="1767"/>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증거 양식</w:t>
            </w:r>
          </w:p>
        </w:tc>
        <w:tc>
          <w:tcPr>
            <w:tcW w:type="dxa" w:w="353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국면별 관찰 지표를 동일한 5개 영역으로 제시</w:t>
            </w:r>
          </w:p>
        </w:tc>
        <w:tc>
          <w:tcPr>
            <w:tcW w:type="dxa" w:w="4419"/>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국면별 1차 증거 유형(수준·동태·사건)과 문항의 지위(직접/대리/보조)를 명시</w:t>
            </w:r>
          </w:p>
        </w:tc>
      </w:tr>
      <w:tr>
        <w:tc>
          <w:tcPr>
            <w:tcW w:type="dxa" w:w="1767"/>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문항 구조</w:t>
            </w:r>
          </w:p>
        </w:tc>
        <w:tc>
          <w:tcPr>
            <w:tcW w:type="dxa" w:w="353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국면별 4문항을 병렬 제시, 반영형 요인 비교 중심</w:t>
            </w:r>
          </w:p>
        </w:tc>
        <w:tc>
          <w:tcPr>
            <w:tcW w:type="dxa" w:w="4419"/>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누적형·국면특이형·사건형으로 부호화. LCA·이상점 IRT를 대안모형으로 추가</w:t>
            </w:r>
          </w:p>
        </w:tc>
      </w:tr>
      <w:tr>
        <w:tc>
          <w:tcPr>
            <w:tcW w:type="dxa" w:w="1767"/>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순환성</w:t>
            </w:r>
          </w:p>
        </w:tc>
        <w:tc>
          <w:tcPr>
            <w:tcW w:type="dxa" w:w="353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비용식의 순환성 차단</w:t>
            </w:r>
          </w:p>
        </w:tc>
        <w:tc>
          <w:tcPr>
            <w:tcW w:type="dxa" w:w="4419"/>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S2 기준선, S3 민감성, S4 복원력의 순환성 추가 차단. 전향적 판정과 후향적 검증 분리</w:t>
            </w:r>
          </w:p>
        </w:tc>
      </w:tr>
      <w:tr>
        <w:tc>
          <w:tcPr>
            <w:tcW w:type="dxa" w:w="1767"/>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비용식</w:t>
            </w:r>
          </w:p>
        </w:tc>
        <w:tc>
          <w:tcPr>
            <w:tcW w:type="dxa" w:w="353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Cₘ &gt; α·Cₜ, 독립 측정 원칙</w:t>
            </w:r>
          </w:p>
        </w:tc>
        <w:tc>
          <w:tcPr>
            <w:tcW w:type="dxa" w:w="4419"/>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로그 변환과 이산시간 생존모형으로 계수 등식 제약 검정. cusp 모형과 이력현상 명제 추가</w:t>
            </w:r>
          </w:p>
        </w:tc>
      </w:tr>
      <w:tr>
        <w:tc>
          <w:tcPr>
            <w:tcW w:type="dxa" w:w="1767"/>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전이 경로</w:t>
            </w:r>
          </w:p>
        </w:tc>
        <w:tc>
          <w:tcPr>
            <w:tcW w:type="dxa" w:w="353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허용 경로를 서술적으로 제시</w:t>
            </w:r>
          </w:p>
        </w:tc>
        <w:tc>
          <w:tcPr>
            <w:tcW w:type="dxa" w:w="4419"/>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전이행렬의 자유·고정 칸을 가설로 사전 명세</w:t>
            </w:r>
          </w:p>
        </w:tc>
      </w:tr>
      <w:tr>
        <w:tc>
          <w:tcPr>
            <w:tcW w:type="dxa" w:w="1767"/>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반증 조건</w:t>
            </w:r>
          </w:p>
        </w:tc>
        <w:tc>
          <w:tcPr>
            <w:tcW w:type="dxa" w:w="353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국면별 서술형 조건</w:t>
            </w:r>
          </w:p>
        </w:tc>
        <w:tc>
          <w:tcPr>
            <w:tcW w:type="dxa" w:w="4419"/>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명제–검정–기각 기준 표(P1~P11)</w:t>
            </w:r>
          </w:p>
        </w:tc>
      </w:tr>
      <w:tr>
        <w:tc>
          <w:tcPr>
            <w:tcW w:type="dxa" w:w="1767"/>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판정 절차</w:t>
            </w:r>
          </w:p>
        </w:tc>
        <w:tc>
          <w:tcPr>
            <w:tcW w:type="dxa" w:w="353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분류 유보 원칙</w:t>
            </w:r>
          </w:p>
        </w:tc>
        <w:tc>
          <w:tcPr>
            <w:tcW w:type="dxa" w:w="4419"/>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이중 판정(규칙 기반·모형 기반) 5단계 알고리즘과 잠정 불확정 규칙</w:t>
            </w:r>
          </w:p>
        </w:tc>
      </w:tr>
    </w:tbl>
    <w:p>
      <w:pPr>
        <w:pStyle w:val="Heading1"/>
        <w:pBdr>
          <w:bottom w:val="single" w:color="2E4A62" w:sz="6" w:space="4"/>
        </w:pBdr>
        <w:spacing w:after="160" w:before="360"/>
      </w:pPr>
      <w:r>
        <w:rPr>
          <w:rFonts w:ascii="Noto Sans CJK KR" w:cs="Noto Sans CJK KR" w:eastAsia="Noto Sans CJK KR" w:hAnsi="Noto Sans CJK KR"/>
          <w:b/>
          <w:bCs/>
          <w:color w:val="2E4A62"/>
          <w:sz w:val="28"/>
          <w:szCs w:val="28"/>
        </w:rPr>
        <w:t xml:space="preserve">1  연구 대상과 2층 상태공간</w:t>
      </w:r>
    </w:p>
    <w:p>
      <w:pPr>
        <w:spacing w:after="120" w:line="300"/>
        <w:jc w:val="both"/>
      </w:pPr>
      <w:r>
        <w:rPr>
          <w:rFonts w:ascii="Noto Sans CJK KR" w:cs="Noto Sans CJK KR" w:eastAsia="Noto Sans CJK KR" w:hAnsi="Noto Sans CJK KR"/>
          <w:sz w:val="20"/>
          <w:szCs w:val="20"/>
        </w:rPr>
        <w:t xml:space="preserve">공식 명칭은 동태적 임계전이모형(Dynamic Threshold Transition Model, DTTM)이며, CBTM은 동일 구상의 이전 명칭으로 다룬다. 한 연구에서는 분석 단위(개인·팀·조직)와 변화 대상을 먼저 고정한다. 본 문서의 실례는 대학 직원의 업무 방식 변화이다. 조직 수준에 적용할 때에는 개인 문항의 평균을 조직 상태로 부르지 않고, 조직 수준의 절차·권한·자원 기록을 별도 지표로 둔다.</w:t>
      </w:r>
    </w:p>
    <w:p>
      <w:pPr>
        <w:pStyle w:val="Heading2"/>
        <w:spacing w:after="100" w:before="240"/>
      </w:pPr>
      <w:r>
        <w:rPr>
          <w:rFonts w:ascii="Noto Sans CJK KR" w:cs="Noto Sans CJK KR" w:eastAsia="Noto Sans CJK KR" w:hAnsi="Noto Sans CJK KR"/>
          <w:b/>
          <w:bCs/>
          <w:color w:val="2E4A62"/>
          <w:sz w:val="23"/>
          <w:szCs w:val="23"/>
        </w:rPr>
        <w:t xml:space="preserve">1.1 두 개의 층</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7"/>
        <w:gridCol w:w="3117"/>
        <w:gridCol w:w="2384"/>
        <w:gridCol w:w="2752"/>
      </w:tblGrid>
      <w:tr>
        <w:trPr>
          <w:tblHeader/>
        </w:trPr>
        <w:tc>
          <w:tcPr>
            <w:tcW w:type="dxa" w:w="1467"/>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층</w:t>
            </w:r>
          </w:p>
        </w:tc>
        <w:tc>
          <w:tcPr>
            <w:tcW w:type="dxa" w:w="3117"/>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정의</w:t>
            </w:r>
          </w:p>
        </w:tc>
        <w:tc>
          <w:tcPr>
            <w:tcW w:type="dxa" w:w="238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관찰 가능성</w:t>
            </w:r>
          </w:p>
        </w:tc>
        <w:tc>
          <w:tcPr>
            <w:tcW w:type="dxa" w:w="2752"/>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구성 요소</w:t>
            </w:r>
          </w:p>
        </w:tc>
      </w:tr>
      <w:tr>
        <w:tc>
          <w:tcPr>
            <w:tcW w:type="dxa" w:w="1467"/>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체제 층 R</w:t>
            </w:r>
          </w:p>
        </w:tc>
        <w:tc>
          <w:tcPr>
            <w:tcW w:type="dxa" w:w="3117"/>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당사자가 실제로 운용하는 우세한 행동·역할·절차 패턴</w:t>
            </w:r>
          </w:p>
        </w:tc>
        <w:tc>
          <w:tcPr>
            <w:tcW w:type="dxa" w:w="238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행동·행정 기록으로 관찰 가능</w:t>
            </w:r>
          </w:p>
        </w:tc>
        <w:tc>
          <w:tcPr>
            <w:tcW w:type="dxa" w:w="275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R₀ 기존 체제, R₁ 신규 체제</w:t>
            </w:r>
          </w:p>
        </w:tc>
      </w:tr>
      <w:tr>
        <w:tc>
          <w:tcPr>
            <w:tcW w:type="dxa" w:w="1467"/>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국면 층 P</w:t>
            </w:r>
          </w:p>
        </w:tc>
        <w:tc>
          <w:tcPr>
            <w:tcW w:type="dxa" w:w="3117"/>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현 체제 안에서의 안정성 수준과 경합의 진행 정도</w:t>
            </w:r>
          </w:p>
        </w:tc>
        <w:tc>
          <w:tcPr>
            <w:tcW w:type="dxa" w:w="238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잠재적. 여러 지표의 합치로 추론</w:t>
            </w:r>
          </w:p>
        </w:tc>
        <w:tc>
          <w:tcPr>
            <w:tcW w:type="dxa" w:w="275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R₀ 안: B(기저 안정)·S0·S1·S2·S3</w:t>
            </w:r>
          </w:p>
          <w:p>
            <w:pPr>
              <w:spacing w:line="270"/>
              <w:jc w:val="left"/>
            </w:pPr>
            <w:r>
              <w:rPr>
                <w:rFonts w:ascii="Noto Sans CJK KR" w:cs="Noto Sans CJK KR" w:eastAsia="Noto Sans CJK KR" w:hAnsi="Noto Sans CJK KR"/>
                <w:b w:val="false"/>
                <w:bCs w:val="false"/>
                <w:sz w:val="18"/>
                <w:szCs w:val="18"/>
              </w:rPr>
              <w:t xml:space="preserve">R₁ 안: N(전이 직후 미안정)·S4</w:t>
            </w:r>
          </w:p>
        </w:tc>
      </w:tr>
      <w:tr>
        <w:tc>
          <w:tcPr>
            <w:tcW w:type="dxa" w:w="1467"/>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전환 E1</w:t>
            </w:r>
          </w:p>
        </w:tc>
        <w:tc>
          <w:tcPr>
            <w:tcW w:type="dxa" w:w="3117"/>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R₀ → R₁의 질적 이동이 관찰되는 사건 또는 짧은 구간</w:t>
            </w:r>
          </w:p>
        </w:tc>
        <w:tc>
          <w:tcPr>
            <w:tcW w:type="dxa" w:w="238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기록으로 확인</w:t>
            </w:r>
          </w:p>
        </w:tc>
        <w:tc>
          <w:tcPr>
            <w:tcW w:type="dxa" w:w="275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시점, 영역, 방향, 자발/강제</w:t>
            </w:r>
          </w:p>
        </w:tc>
      </w:tr>
    </w:tbl>
    <w:p>
      <w:pPr>
        <w:spacing w:after="80"/>
      </w:pPr>
    </w:p>
    <w:p>
      <w:pPr>
        <w:spacing w:after="120" w:line="300"/>
        <w:jc w:val="both"/>
      </w:pPr>
      <w:r>
        <w:rPr>
          <w:rFonts w:ascii="Noto Sans CJK KR" w:cs="Noto Sans CJK KR" w:eastAsia="Noto Sans CJK KR" w:hAnsi="Noto Sans CJK KR"/>
          <w:sz w:val="20"/>
          <w:szCs w:val="20"/>
        </w:rPr>
        <w:t xml:space="preserve">이 구조에서 S0~S3은 기존 체제의 복원력이 점차 약해지는 과정이고, S4는 신규 체제의 복원력이 회복된 상태이다. S4에서 새로운 불일치가 누적되면 R₁을 기준 체제로 하는 새 S0이 시작된다. 따라서 “재진입 사이클”은 별도 가정 없이 구조에서 도출된다. 명칭은 관례대로 “6국면”을 유지하되, 논문에서는 “5개 잠재 국면과 1개 전환 사건”으로 병기할 것을 권고한다.</w:t>
      </w:r>
    </w:p>
    <w:p>
      <w:pPr>
        <w:pStyle w:val="Heading2"/>
        <w:spacing w:after="100" w:before="240"/>
      </w:pPr>
      <w:r>
        <w:rPr>
          <w:rFonts w:ascii="Noto Sans CJK KR" w:cs="Noto Sans CJK KR" w:eastAsia="Noto Sans CJK KR" w:hAnsi="Noto Sans CJK KR"/>
          <w:b/>
          <w:bCs/>
          <w:color w:val="2E4A62"/>
          <w:sz w:val="23"/>
          <w:szCs w:val="23"/>
        </w:rPr>
        <w:t xml:space="preserve">1.2 경로와 평가 방향</w:t>
      </w:r>
    </w:p>
    <w:p>
      <w:pPr>
        <w:pStyle w:val="ListParagraph"/>
        <w:numPr>
          <w:ilvl w:val="0"/>
          <w:numId w:val="3"/>
        </w:numPr>
        <w:spacing w:after="80" w:line="290"/>
      </w:pPr>
      <w:r>
        <w:rPr>
          <w:rFonts w:ascii="Noto Sans CJK KR" w:cs="Noto Sans CJK KR" w:eastAsia="Noto Sans CJK KR" w:hAnsi="Noto Sans CJK KR"/>
          <w:b/>
          <w:bCs/>
          <w:sz w:val="20"/>
          <w:szCs w:val="20"/>
        </w:rPr>
        <w:t xml:space="preserve">대표 경로:</w:t>
      </w:r>
      <w:r>
        <w:rPr>
          <w:rFonts w:ascii="Noto Sans CJK KR" w:cs="Noto Sans CJK KR" w:eastAsia="Noto Sans CJK KR" w:hAnsi="Noto Sans CJK KR"/>
          <w:sz w:val="20"/>
          <w:szCs w:val="20"/>
        </w:rPr>
        <w:t xml:space="preserve"> B → S0 → S1 → S2 → S3 → E1 → N → S4. 순서는 대표 경로이며 보편 법칙이 아니다.</w:t>
      </w:r>
    </w:p>
    <w:p>
      <w:pPr>
        <w:pStyle w:val="ListParagraph"/>
        <w:numPr>
          <w:ilvl w:val="0"/>
          <w:numId w:val="3"/>
        </w:numPr>
        <w:spacing w:after="80" w:line="290"/>
      </w:pPr>
      <w:r>
        <w:rPr>
          <w:rFonts w:ascii="Noto Sans CJK KR" w:cs="Noto Sans CJK KR" w:eastAsia="Noto Sans CJK KR" w:hAnsi="Noto Sans CJK KR"/>
          <w:b/>
          <w:bCs/>
          <w:sz w:val="20"/>
          <w:szCs w:val="20"/>
        </w:rPr>
        <w:t xml:space="preserve">허용 경로:</w:t>
      </w:r>
      <w:r>
        <w:rPr>
          <w:rFonts w:ascii="Noto Sans CJK KR" w:cs="Noto Sans CJK KR" w:eastAsia="Noto Sans CJK KR" w:hAnsi="Noto Sans CJK KR"/>
          <w:sz w:val="20"/>
          <w:szCs w:val="20"/>
        </w:rPr>
        <w:t xml:space="preserve"> 해소(B 복귀), 정체, 후퇴, 도약, 실패 후 회귀(N → R₀), 재진입. 허용 여부와 상대적 크기는 12장의 전이행렬 가설로 명세한다.</w:t>
      </w:r>
    </w:p>
    <w:p>
      <w:pPr>
        <w:pStyle w:val="ListParagraph"/>
        <w:numPr>
          <w:ilvl w:val="0"/>
          <w:numId w:val="3"/>
        </w:numPr>
        <w:spacing w:after="80" w:line="290"/>
      </w:pPr>
      <w:r>
        <w:rPr>
          <w:rFonts w:ascii="Noto Sans CJK KR" w:cs="Noto Sans CJK KR" w:eastAsia="Noto Sans CJK KR" w:hAnsi="Noto Sans CJK KR"/>
          <w:b/>
          <w:bCs/>
          <w:sz w:val="20"/>
          <w:szCs w:val="20"/>
        </w:rPr>
        <w:t xml:space="preserve">평가 방향:</w:t>
      </w:r>
      <w:r>
        <w:rPr>
          <w:rFonts w:ascii="Noto Sans CJK KR" w:cs="Noto Sans CJK KR" w:eastAsia="Noto Sans CJK KR" w:hAnsi="Noto Sans CJK KR"/>
          <w:sz w:val="20"/>
          <w:szCs w:val="20"/>
        </w:rPr>
        <w:t xml:space="preserve"> 전이는 성장·소진·이직·회피 등 어느 방향으로도 나타날 수 있다. 안정성과 바람직함은 별도 결과로 보고한다.</w:t>
      </w:r>
    </w:p>
    <w:p>
      <w:pPr>
        <w:pStyle w:val="Heading1"/>
        <w:pBdr>
          <w:bottom w:val="single" w:color="2E4A62" w:sz="6" w:space="4"/>
        </w:pBdr>
        <w:spacing w:after="160" w:before="360"/>
      </w:pPr>
      <w:r>
        <w:rPr>
          <w:rFonts w:ascii="Noto Sans CJK KR" w:cs="Noto Sans CJK KR" w:eastAsia="Noto Sans CJK KR" w:hAnsi="Noto Sans CJK KR"/>
          <w:b/>
          <w:bCs/>
          <w:color w:val="2E4A62"/>
          <w:sz w:val="28"/>
          <w:szCs w:val="28"/>
        </w:rPr>
        <w:t xml:space="preserve">2  증거 양식과 공통 조작 규칙</w:t>
      </w:r>
    </w:p>
    <w:p>
      <w:pPr>
        <w:pStyle w:val="Heading2"/>
        <w:spacing w:after="100" w:before="240"/>
      </w:pPr>
      <w:r>
        <w:rPr>
          <w:rFonts w:ascii="Noto Sans CJK KR" w:cs="Noto Sans CJK KR" w:eastAsia="Noto Sans CJK KR" w:hAnsi="Noto Sans CJK KR"/>
          <w:b/>
          <w:bCs/>
          <w:color w:val="2E4A62"/>
          <w:sz w:val="23"/>
          <w:szCs w:val="23"/>
        </w:rPr>
        <w:t xml:space="preserve">2.1 국면별 증거 양식 매트릭스</w:t>
      </w:r>
    </w:p>
    <w:p>
      <w:pPr>
        <w:spacing w:after="120" w:line="300"/>
        <w:jc w:val="both"/>
      </w:pPr>
      <w:r>
        <w:rPr>
          <w:rFonts w:ascii="Noto Sans CJK KR" w:cs="Noto Sans CJK KR" w:eastAsia="Noto Sans CJK KR" w:hAnsi="Noto Sans CJK KR"/>
          <w:sz w:val="20"/>
          <w:szCs w:val="20"/>
        </w:rPr>
        <w:t xml:space="preserve">국면마다 1차 증거의 종류가 다르다. 수준 증거는 한 시점의 설문으로 얻을 수 있지만, 동태 증거는 개인 내 반복자료에서만, 사건 증거는 기록에서만 얻을 수 있다. 이 차이를 무시하면 설문 점수가 모든 국면을 대표하는 것처럼 보이는 오류가 생긴다.</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3"/>
        <w:gridCol w:w="3499"/>
        <w:gridCol w:w="2916"/>
        <w:gridCol w:w="2042"/>
      </w:tblGrid>
      <w:tr>
        <w:trPr>
          <w:tblHeader/>
        </w:trPr>
        <w:tc>
          <w:tcPr>
            <w:tcW w:type="dxa" w:w="1263"/>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국면</w:t>
            </w:r>
          </w:p>
        </w:tc>
        <w:tc>
          <w:tcPr>
            <w:tcW w:type="dxa" w:w="3499"/>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1차 증거 유형</w:t>
            </w:r>
          </w:p>
        </w:tc>
        <w:tc>
          <w:tcPr>
            <w:tcW w:type="dxa" w:w="291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필요 자료</w:t>
            </w:r>
          </w:p>
        </w:tc>
        <w:tc>
          <w:tcPr>
            <w:tcW w:type="dxa" w:w="2042"/>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설문 문항의 지위</w:t>
            </w:r>
          </w:p>
        </w:tc>
      </w:tr>
      <w:tr>
        <w:tc>
          <w:tcPr>
            <w:tcW w:type="dxa" w:w="1263"/>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B / S0</w:t>
            </w:r>
          </w:p>
        </w:tc>
        <w:tc>
          <w:tcPr>
            <w:tcW w:type="dxa" w:w="3499"/>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수준: 불일치 빈도, 문제 명명 유보</w:t>
            </w:r>
          </w:p>
        </w:tc>
        <w:tc>
          <w:tcPr>
            <w:tcW w:type="dxa" w:w="29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월별 패널, 인터뷰</w:t>
            </w:r>
          </w:p>
        </w:tc>
        <w:tc>
          <w:tcPr>
            <w:tcW w:type="dxa" w:w="204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직접 지표</w:t>
            </w:r>
          </w:p>
        </w:tc>
      </w:tr>
      <w:tr>
        <w:tc>
          <w:tcPr>
            <w:tcW w:type="dxa" w:w="1263"/>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S1</w:t>
            </w:r>
          </w:p>
        </w:tc>
        <w:tc>
          <w:tcPr>
            <w:tcW w:type="dxa" w:w="3499"/>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수준: 목표 갈등, 선택 제약, 기능 유지</w:t>
            </w:r>
          </w:p>
        </w:tc>
        <w:tc>
          <w:tcPr>
            <w:tcW w:type="dxa" w:w="291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월별 패널, 인터뷰</w:t>
            </w:r>
          </w:p>
        </w:tc>
        <w:tc>
          <w:tcPr>
            <w:tcW w:type="dxa" w:w="204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직접 지표</w:t>
            </w:r>
          </w:p>
        </w:tc>
      </w:tr>
      <w:tr>
        <w:tc>
          <w:tcPr>
            <w:tcW w:type="dxa" w:w="1263"/>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S2</w:t>
            </w:r>
          </w:p>
        </w:tc>
        <w:tc>
          <w:tcPr>
            <w:tcW w:type="dxa" w:w="3499"/>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동태: 교란 후 회복시간, 자기상관, 분산</w:t>
            </w:r>
          </w:p>
        </w:tc>
        <w:tc>
          <w:tcPr>
            <w:tcW w:type="dxa" w:w="29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일지/ESM, 변화 이전 기준선, 교란 사건 로그</w:t>
            </w:r>
          </w:p>
        </w:tc>
        <w:tc>
          <w:tcPr>
            <w:tcW w:type="dxa" w:w="204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대리 지표(지각된 경계)</w:t>
            </w:r>
          </w:p>
        </w:tc>
      </w:tr>
      <w:tr>
        <w:tc>
          <w:tcPr>
            <w:tcW w:type="dxa" w:w="1263"/>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S3</w:t>
            </w:r>
          </w:p>
        </w:tc>
        <w:tc>
          <w:tcPr>
            <w:tcW w:type="dxa" w:w="3499"/>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전향: 비용 평가·가용 대안·실행 준비</w:t>
            </w:r>
          </w:p>
          <w:p>
            <w:pPr>
              <w:spacing w:line="270"/>
              <w:jc w:val="left"/>
            </w:pPr>
            <w:r>
              <w:rPr>
                <w:rFonts w:ascii="Noto Sans CJK KR" w:cs="Noto Sans CJK KR" w:eastAsia="Noto Sans CJK KR" w:hAnsi="Noto Sans CJK KR"/>
                <w:b w:val="false"/>
                <w:bCs w:val="false"/>
                <w:sz w:val="18"/>
                <w:szCs w:val="18"/>
              </w:rPr>
              <w:t xml:space="preserve">후향: 계기 민감성(모형 수준)</w:t>
            </w:r>
          </w:p>
        </w:tc>
        <w:tc>
          <w:tcPr>
            <w:tcW w:type="dxa" w:w="291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패널, 사건 로그, 비용 측정</w:t>
            </w:r>
          </w:p>
        </w:tc>
        <w:tc>
          <w:tcPr>
            <w:tcW w:type="dxa" w:w="204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부분 지표(전향 요소만)</w:t>
            </w:r>
          </w:p>
        </w:tc>
      </w:tr>
      <w:tr>
        <w:tc>
          <w:tcPr>
            <w:tcW w:type="dxa" w:w="1263"/>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E1</w:t>
            </w:r>
          </w:p>
        </w:tc>
        <w:tc>
          <w:tcPr>
            <w:tcW w:type="dxa" w:w="3499"/>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사건: 첫 실행, 기존 행동 중단, 권한·절차 변경</w:t>
            </w:r>
          </w:p>
        </w:tc>
        <w:tc>
          <w:tcPr>
            <w:tcW w:type="dxa" w:w="29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행정·업무 기록, 제3자 확인</w:t>
            </w:r>
          </w:p>
        </w:tc>
        <w:tc>
          <w:tcPr>
            <w:tcW w:type="dxa" w:w="204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보조 지표</w:t>
            </w:r>
          </w:p>
        </w:tc>
      </w:tr>
      <w:tr>
        <w:tc>
          <w:tcPr>
            <w:tcW w:type="dxa" w:w="1263"/>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N / S4</w:t>
            </w:r>
          </w:p>
        </w:tc>
        <w:tc>
          <w:tcPr>
            <w:tcW w:type="dxa" w:w="3499"/>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반복, 관계·자원 정렬, 교란 후 새 방식 복귀</w:t>
            </w:r>
          </w:p>
        </w:tc>
        <w:tc>
          <w:tcPr>
            <w:tcW w:type="dxa" w:w="291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기록, 추적 관찰, 패널</w:t>
            </w:r>
          </w:p>
        </w:tc>
        <w:tc>
          <w:tcPr>
            <w:tcW w:type="dxa" w:w="204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부분 지표</w:t>
            </w:r>
          </w:p>
        </w:tc>
      </w:tr>
    </w:tbl>
    <w:p>
      <w:pPr>
        <w:spacing w:after="80"/>
      </w:pPr>
    </w:p>
    <w:p>
      <w:pPr>
        <w:spacing w:after="120" w:line="300"/>
        <w:jc w:val="both"/>
      </w:pPr>
      <w:r>
        <w:rPr>
          <w:rFonts w:ascii="Noto Sans CJK KR" w:cs="Noto Sans CJK KR" w:eastAsia="Noto Sans CJK KR" w:hAnsi="Noto Sans CJK KR"/>
          <w:sz w:val="20"/>
          <w:szCs w:val="20"/>
        </w:rPr>
        <w:t xml:space="preserve">특히 S2는 “지각된 경계”(설문)와 “동태적 경계”(반복자료에서 산출한 지표)를 별개 변수로 두고, 둘의 수렴을 검증 과제(P4)로 삼는다. 수렴이 확인되기 전에는 설문 점수만으로 S2를 판정하지 않는다.</w:t>
      </w:r>
    </w:p>
    <w:p>
      <w:pPr>
        <w:pStyle w:val="Heading2"/>
        <w:spacing w:after="100" w:before="240"/>
      </w:pPr>
      <w:r>
        <w:rPr>
          <w:rFonts w:ascii="Noto Sans CJK KR" w:cs="Noto Sans CJK KR" w:eastAsia="Noto Sans CJK KR" w:hAnsi="Noto Sans CJK KR"/>
          <w:b/>
          <w:bCs/>
          <w:color w:val="2E4A62"/>
          <w:sz w:val="23"/>
          <w:szCs w:val="23"/>
        </w:rPr>
        <w:t xml:space="preserve">2.2 전향적 판정과 후향적 검증의 분리</w:t>
      </w:r>
    </w:p>
    <w:p>
      <w:pPr>
        <w:spacing w:after="120" w:line="300"/>
        <w:jc w:val="both"/>
      </w:pPr>
      <w:r>
        <w:rPr>
          <w:rFonts w:ascii="Noto Sans CJK KR" w:cs="Noto Sans CJK KR" w:eastAsia="Noto Sans CJK KR" w:hAnsi="Noto Sans CJK KR"/>
          <w:sz w:val="20"/>
          <w:szCs w:val="20"/>
        </w:rPr>
        <w:t xml:space="preserve">모든 국면 판정은 두 단계로 나눈다. </w:t>
      </w:r>
      <w:r>
        <w:rPr>
          <w:rFonts w:ascii="Noto Sans CJK KR" w:cs="Noto Sans CJK KR" w:eastAsia="Noto Sans CJK KR" w:hAnsi="Noto Sans CJK KR"/>
          <w:b/>
          <w:bCs/>
          <w:sz w:val="20"/>
          <w:szCs w:val="20"/>
        </w:rPr>
        <w:t xml:space="preserve">전향적 판정</w:t>
      </w:r>
      <w:r>
        <w:rPr>
          <w:rFonts w:ascii="Noto Sans CJK KR" w:cs="Noto Sans CJK KR" w:eastAsia="Noto Sans CJK KR" w:hAnsi="Noto Sans CJK KR"/>
          <w:sz w:val="20"/>
          <w:szCs w:val="20"/>
        </w:rPr>
        <w:t xml:space="preserve">은 그 시점까지 수집된 자료만으로 내리는 판정이며, 예측 연구의 예측변수로 쓸 수 있다. </w:t>
      </w:r>
      <w:r>
        <w:rPr>
          <w:rFonts w:ascii="Noto Sans CJK KR" w:cs="Noto Sans CJK KR" w:eastAsia="Noto Sans CJK KR" w:hAnsi="Noto Sans CJK KR"/>
          <w:b/>
          <w:bCs/>
          <w:sz w:val="20"/>
          <w:szCs w:val="20"/>
        </w:rPr>
        <w:t xml:space="preserve">후향적 검증</w:t>
      </w:r>
      <w:r>
        <w:rPr>
          <w:rFonts w:ascii="Noto Sans CJK KR" w:cs="Noto Sans CJK KR" w:eastAsia="Noto Sans CJK KR" w:hAnsi="Noto Sans CJK KR"/>
          <w:sz w:val="20"/>
          <w:szCs w:val="20"/>
        </w:rPr>
        <w:t xml:space="preserve">은 이후 자료로 판정을 확인하거나 철회하는 절차이며, 예측변수로 쓸 수 없다. 이 분리는 결과 정보가 판정 기준에 섞여 들어가는 순환성을 막는다.</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6"/>
        <w:gridCol w:w="4276"/>
        <w:gridCol w:w="4278"/>
      </w:tblGrid>
      <w:tr>
        <w:trPr>
          <w:tblHeader/>
        </w:trPr>
        <w:tc>
          <w:tcPr>
            <w:tcW w:type="dxa" w:w="116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국면</w:t>
            </w:r>
          </w:p>
        </w:tc>
        <w:tc>
          <w:tcPr>
            <w:tcW w:type="dxa" w:w="427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전향적 판정에 쓰는 정보</w:t>
            </w:r>
          </w:p>
        </w:tc>
        <w:tc>
          <w:tcPr>
            <w:tcW w:type="dxa" w:w="4278"/>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후향적 검증에만 쓰는 정보</w:t>
            </w:r>
          </w:p>
        </w:tc>
      </w:tr>
      <w:tr>
        <w:tc>
          <w:tcPr>
            <w:tcW w:type="dxa" w:w="116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S2</w:t>
            </w:r>
          </w:p>
        </w:tc>
        <w:tc>
          <w:tcPr>
            <w:tcW w:type="dxa" w:w="42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지각된 회복 지연, 해당 시점까지의 일지 지표</w:t>
            </w:r>
          </w:p>
        </w:tc>
        <w:tc>
          <w:tcPr>
            <w:tcW w:type="dxa" w:w="427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이후 구간의 회복시간 추세, 전이 여부</w:t>
            </w:r>
          </w:p>
        </w:tc>
      </w:tr>
      <w:tr>
        <w:tc>
          <w:tcPr>
            <w:tcW w:type="dxa" w:w="116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S3</w:t>
            </w:r>
          </w:p>
        </w:tc>
        <w:tc>
          <w:tcPr>
            <w:tcW w:type="dxa" w:w="42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비용 평가, 가용 대안, 실행 준비, 예정된 계기</w:t>
            </w:r>
          </w:p>
        </w:tc>
        <w:tc>
          <w:tcPr>
            <w:tcW w:type="dxa" w:w="427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계기에 대한 전이 위험의 민감성, 실제 전이 시점</w:t>
            </w:r>
          </w:p>
        </w:tc>
      </w:tr>
      <w:tr>
        <w:tc>
          <w:tcPr>
            <w:tcW w:type="dxa" w:w="116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E1</w:t>
            </w:r>
          </w:p>
        </w:tc>
        <w:tc>
          <w:tcPr>
            <w:tcW w:type="dxa" w:w="42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해당 시점까지의 실행 기록</w:t>
            </w:r>
          </w:p>
        </w:tc>
        <w:tc>
          <w:tcPr>
            <w:tcW w:type="dxa" w:w="427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실행의 지속 여부(지속은 S4 판정 소관)</w:t>
            </w:r>
          </w:p>
        </w:tc>
      </w:tr>
      <w:tr>
        <w:tc>
          <w:tcPr>
            <w:tcW w:type="dxa" w:w="116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S4</w:t>
            </w:r>
          </w:p>
        </w:tc>
        <w:tc>
          <w:tcPr>
            <w:tcW w:type="dxa" w:w="42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관찰창 안의 반복·정렬 증거</w:t>
            </w:r>
          </w:p>
        </w:tc>
        <w:tc>
          <w:tcPr>
            <w:tcW w:type="dxa" w:w="427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교란 후 새 방식 복귀, 이후 유지·회귀</w:t>
            </w:r>
          </w:p>
        </w:tc>
      </w:tr>
    </w:tbl>
    <w:p>
      <w:pPr>
        <w:pStyle w:val="Heading2"/>
        <w:spacing w:after="100" w:before="240"/>
      </w:pPr>
      <w:r>
        <w:rPr>
          <w:rFonts w:ascii="Noto Sans CJK KR" w:cs="Noto Sans CJK KR" w:eastAsia="Noto Sans CJK KR" w:hAnsi="Noto Sans CJK KR"/>
          <w:b/>
          <w:bCs/>
          <w:color w:val="2E4A62"/>
          <w:sz w:val="23"/>
          <w:szCs w:val="23"/>
        </w:rPr>
        <w:t xml:space="preserve">2.3 공통 사전 결정 사항</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4"/>
        <w:gridCol w:w="7776"/>
      </w:tblGrid>
      <w:tr>
        <w:trPr>
          <w:tblHeader/>
        </w:trPr>
        <w:tc>
          <w:tcPr>
            <w:tcW w:type="dxa" w:w="194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항목</w:t>
            </w:r>
          </w:p>
        </w:tc>
        <w:tc>
          <w:tcPr>
            <w:tcW w:type="dxa" w:w="777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사전 결정 사항</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변화 대상</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참여자별로 한 가지 변화 대상을 특정하고, 모든 문항의 [변화 대상] 자리에 삽입한다.</w:t>
            </w:r>
          </w:p>
        </w:tc>
      </w:tr>
      <w:tr>
        <w:tc>
          <w:tcPr>
            <w:tcW w:type="dxa" w:w="19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기준선</w:t>
            </w:r>
          </w:p>
        </w:tc>
        <w:tc>
          <w:tcPr>
            <w:tcW w:type="dxa" w:w="77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S2의 개인 내 비교를 위해 변화 대상의 도입이 공지되는 시점 또는 그 이전에 모집한다. 기준선 없이 모집된 참여자는 S2 판정에서 “기준선 없음”으로 표시한다.</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시간 단위</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패널은 월 단위, 측정 버스트는 근무일 단위를 기본으로 하되 변화 속도에 맞춰 사전 고정한다(13장).</w:t>
            </w:r>
          </w:p>
        </w:tc>
      </w:tr>
      <w:tr>
        <w:tc>
          <w:tcPr>
            <w:tcW w:type="dxa" w:w="19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최소 증거</w:t>
            </w:r>
          </w:p>
        </w:tc>
        <w:tc>
          <w:tcPr>
            <w:tcW w:type="dxa" w:w="77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국면 후보는 서로 다른 두 증거 영역(예: 설문과 기록, 설문과 면접)의 합치로 판단한다. 국면별 최소 증거 규칙은 15.2절에 둔다.</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시간 창</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E1 판정 구간, S2 관찰창, S4 관찰창(예: 전이 후 8~12주)을 분석 전에 정한다.</w:t>
            </w:r>
          </w:p>
        </w:tc>
      </w:tr>
      <w:tr>
        <w:tc>
          <w:tcPr>
            <w:tcW w:type="dxa" w:w="19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외생 충격</w:t>
            </w:r>
          </w:p>
        </w:tc>
        <w:tc>
          <w:tcPr>
            <w:tcW w:type="dxa" w:w="77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강제 배치·법령 변경·조직 폐지 등은 “강제 전이”로 별도 부호화하고 자발 전이 모형과 분리 분석한다.</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분류 유보</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인접 국면의 확률이 비슷하거나 자료가 부족하면 혼합·불확정으로 표시하고 사유를 기록한다.</w:t>
            </w:r>
          </w:p>
        </w:tc>
      </w:tr>
    </w:tbl>
    <w:p>
      <w:pPr>
        <w:pStyle w:val="Heading1"/>
        <w:pBdr>
          <w:bottom w:val="single" w:color="2E4A62" w:sz="6" w:space="4"/>
        </w:pBdr>
        <w:spacing w:after="160" w:before="360"/>
      </w:pPr>
      <w:r>
        <w:rPr>
          <w:rFonts w:ascii="Noto Sans CJK KR" w:cs="Noto Sans CJK KR" w:eastAsia="Noto Sans CJK KR" w:hAnsi="Noto Sans CJK KR"/>
          <w:b/>
          <w:bCs/>
          <w:color w:val="2E4A62"/>
          <w:sz w:val="28"/>
          <w:szCs w:val="28"/>
        </w:rPr>
        <w:t xml:space="preserve">3  문항 설계 원칙</w:t>
      </w:r>
    </w:p>
    <w:p>
      <w:pPr>
        <w:pStyle w:val="Heading2"/>
        <w:spacing w:after="100" w:before="240"/>
      </w:pPr>
      <w:r>
        <w:rPr>
          <w:rFonts w:ascii="Noto Sans CJK KR" w:cs="Noto Sans CJK KR" w:eastAsia="Noto Sans CJK KR" w:hAnsi="Noto Sans CJK KR"/>
          <w:b/>
          <w:bCs/>
          <w:color w:val="2E4A62"/>
          <w:sz w:val="23"/>
          <w:szCs w:val="23"/>
        </w:rPr>
        <w:t xml:space="preserve">3.1 문항 유형의 부호화</w:t>
      </w:r>
    </w:p>
    <w:p>
      <w:pPr>
        <w:spacing w:after="120" w:line="300"/>
        <w:jc w:val="both"/>
      </w:pPr>
      <w:r>
        <w:rPr>
          <w:rFonts w:ascii="Noto Sans CJK KR" w:cs="Noto Sans CJK KR" w:eastAsia="Noto Sans CJK KR" w:hAnsi="Noto Sans CJK KR"/>
          <w:sz w:val="20"/>
          <w:szCs w:val="20"/>
        </w:rPr>
        <w:t xml:space="preserve">국면 문항은 시간에 따라 참·거짓이 바뀌는 방식이 다르다. 이를 구분하지 않고 6요인 반영형 모형을 적용하면 국면 간 요인상관이 비정상적으로 나오거나, 문항 전체가 하나의 연속차원으로 붕괴할 수 있다. 제2판은 모든 문항에 다음 유형 부호를 붙인다.</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2"/>
        <w:gridCol w:w="1238"/>
        <w:gridCol w:w="2668"/>
        <w:gridCol w:w="3144"/>
        <w:gridCol w:w="1908"/>
      </w:tblGrid>
      <w:tr>
        <w:trPr>
          <w:tblHeader/>
        </w:trPr>
        <w:tc>
          <w:tcPr>
            <w:tcW w:type="dxa" w:w="762"/>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부호</w:t>
            </w:r>
          </w:p>
        </w:tc>
        <w:tc>
          <w:tcPr>
            <w:tcW w:type="dxa" w:w="1238"/>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유형</w:t>
            </w:r>
          </w:p>
        </w:tc>
        <w:tc>
          <w:tcPr>
            <w:tcW w:type="dxa" w:w="2668"/>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시간에 따른 성질</w:t>
            </w:r>
          </w:p>
        </w:tc>
        <w:tc>
          <w:tcPr>
            <w:tcW w:type="dxa" w:w="314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예</w:t>
            </w:r>
          </w:p>
        </w:tc>
        <w:tc>
          <w:tcPr>
            <w:tcW w:type="dxa" w:w="1908"/>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적합한 측정모형</w:t>
            </w:r>
          </w:p>
        </w:tc>
      </w:tr>
      <w:tr>
        <w:tc>
          <w:tcPr>
            <w:tcW w:type="dxa" w:w="76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[누]</w:t>
            </w:r>
          </w:p>
        </w:tc>
        <w:tc>
          <w:tcPr>
            <w:tcW w:type="dxa" w:w="123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누적형</w:t>
            </w:r>
          </w:p>
        </w:tc>
        <w:tc>
          <w:tcPr>
            <w:tcW w:type="dxa" w:w="266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한번 참이 되면 이후 국면에서도 대체로 참</w:t>
            </w:r>
          </w:p>
        </w:tc>
        <w:tc>
          <w:tcPr>
            <w:tcW w:type="dxa" w:w="31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양립하기 어려운 요구가 동시에 작용한다(S1 이후 지속)</w:t>
            </w:r>
          </w:p>
        </w:tc>
        <w:tc>
          <w:tcPr>
            <w:tcW w:type="dxa" w:w="190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Guttman형 위계, 누적 IRT</w:t>
            </w:r>
          </w:p>
        </w:tc>
      </w:tr>
      <w:tr>
        <w:tc>
          <w:tcPr>
            <w:tcW w:type="dxa" w:w="76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[특]</w:t>
            </w:r>
          </w:p>
        </w:tc>
        <w:tc>
          <w:tcPr>
            <w:tcW w:type="dxa" w:w="123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국면특이형</w:t>
            </w:r>
          </w:p>
        </w:tc>
        <w:tc>
          <w:tcPr>
            <w:tcW w:type="dxa" w:w="266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해당 국면에서만 참이고 이후에는 거짓이 됨</w:t>
            </w:r>
          </w:p>
        </w:tc>
        <w:tc>
          <w:tcPr>
            <w:tcW w:type="dxa" w:w="31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무엇이 문제인지 아직 설명하기 어렵다(S1 진입 시 거짓)</w:t>
            </w:r>
          </w:p>
        </w:tc>
        <w:tc>
          <w:tcPr>
            <w:tcW w:type="dxa" w:w="190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이상점 IRT(GGUM), LCA</w:t>
            </w:r>
          </w:p>
        </w:tc>
      </w:tr>
      <w:tr>
        <w:tc>
          <w:tcPr>
            <w:tcW w:type="dxa" w:w="76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[사]</w:t>
            </w:r>
          </w:p>
        </w:tc>
        <w:tc>
          <w:tcPr>
            <w:tcW w:type="dxa" w:w="123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사건형</w:t>
            </w:r>
          </w:p>
        </w:tc>
        <w:tc>
          <w:tcPr>
            <w:tcW w:type="dxa" w:w="266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특정 시점에 발생 여부와 날짜로 응답</w:t>
            </w:r>
          </w:p>
        </w:tc>
        <w:tc>
          <w:tcPr>
            <w:tcW w:type="dxa" w:w="31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기존 절차를 중단하고 새 방식을 처음 적용했다</w:t>
            </w:r>
          </w:p>
        </w:tc>
        <w:tc>
          <w:tcPr>
            <w:tcW w:type="dxa" w:w="190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사건 부호화, 생존모형</w:t>
            </w:r>
          </w:p>
        </w:tc>
      </w:tr>
    </w:tbl>
    <w:p>
      <w:pPr>
        <w:spacing w:after="80"/>
      </w:pPr>
    </w:p>
    <w:p>
      <w:pPr>
        <w:spacing w:after="120" w:line="300"/>
        <w:jc w:val="both"/>
      </w:pPr>
      <w:r>
        <w:rPr>
          <w:rFonts w:ascii="Noto Sans CJK KR" w:cs="Noto Sans CJK KR" w:eastAsia="Noto Sans CJK KR" w:hAnsi="Noto Sans CJK KR"/>
          <w:sz w:val="20"/>
          <w:szCs w:val="20"/>
        </w:rPr>
        <w:t xml:space="preserve">국면을 식별하는 데 결정적인 것은 국면특이형 문항이다. 각 국면에는 최소 2개의 [특] 문항을 두어, 누적형 문항만으로 인접 국면이 구분되지 않는 문제를 막는다.</w:t>
      </w:r>
    </w:p>
    <w:p>
      <w:pPr>
        <w:pStyle w:val="Heading2"/>
        <w:spacing w:after="100" w:before="240"/>
      </w:pPr>
      <w:r>
        <w:rPr>
          <w:rFonts w:ascii="Noto Sans CJK KR" w:cs="Noto Sans CJK KR" w:eastAsia="Noto Sans CJK KR" w:hAnsi="Noto Sans CJK KR"/>
          <w:b/>
          <w:bCs/>
          <w:color w:val="2E4A62"/>
          <w:sz w:val="23"/>
          <w:szCs w:val="23"/>
        </w:rPr>
        <w:t xml:space="preserve">3.2 작성 규칙</w:t>
      </w:r>
    </w:p>
    <w:p>
      <w:pPr>
        <w:pStyle w:val="ListParagraph"/>
        <w:numPr>
          <w:ilvl w:val="0"/>
          <w:numId w:val="3"/>
        </w:numPr>
        <w:spacing w:after="80" w:line="290"/>
      </w:pPr>
      <w:r>
        <w:rPr>
          <w:rFonts w:ascii="Noto Sans CJK KR" w:cs="Noto Sans CJK KR" w:eastAsia="Noto Sans CJK KR" w:hAnsi="Noto Sans CJK KR"/>
          <w:sz w:val="20"/>
          <w:szCs w:val="20"/>
        </w:rPr>
        <w:t xml:space="preserve">모든 문항은 “[변화 대상]” 자리표시어를 포함한 템플릿으로 작성하고, 연구마다 구체적 대상으로 치환한다.</w:t>
      </w:r>
    </w:p>
    <w:p>
      <w:pPr>
        <w:pStyle w:val="ListParagraph"/>
        <w:numPr>
          <w:ilvl w:val="0"/>
          <w:numId w:val="3"/>
        </w:numPr>
        <w:spacing w:after="80" w:line="290"/>
      </w:pPr>
      <w:r>
        <w:rPr>
          <w:rFonts w:ascii="Noto Sans CJK KR" w:cs="Noto Sans CJK KR" w:eastAsia="Noto Sans CJK KR" w:hAnsi="Noto Sans CJK KR"/>
          <w:sz w:val="20"/>
          <w:szCs w:val="20"/>
        </w:rPr>
        <w:t xml:space="preserve">비교 표현(“이전보다”)은 기준 시점을 명시한다. 예: “[변화 대상] 도입 이전과 비교하여”.</w:t>
      </w:r>
    </w:p>
    <w:p>
      <w:pPr>
        <w:pStyle w:val="ListParagraph"/>
        <w:numPr>
          <w:ilvl w:val="0"/>
          <w:numId w:val="3"/>
        </w:numPr>
        <w:spacing w:after="80" w:line="290"/>
      </w:pPr>
      <w:r>
        <w:rPr>
          <w:rFonts w:ascii="Noto Sans CJK KR" w:cs="Noto Sans CJK KR" w:eastAsia="Noto Sans CJK KR" w:hAnsi="Noto Sans CJK KR"/>
          <w:sz w:val="20"/>
          <w:szCs w:val="20"/>
        </w:rPr>
        <w:t xml:space="preserve">응답 기간을 고정한다. 수준 문항은 “지난 한 달”, 일지 문항은 “오늘”, 사건형 문항은 “지난 조사 이후”를 기준으로 한다.</w:t>
      </w:r>
    </w:p>
    <w:p>
      <w:pPr>
        <w:pStyle w:val="ListParagraph"/>
        <w:numPr>
          <w:ilvl w:val="0"/>
          <w:numId w:val="3"/>
        </w:numPr>
        <w:spacing w:after="80" w:line="290"/>
      </w:pPr>
      <w:r>
        <w:rPr>
          <w:rFonts w:ascii="Noto Sans CJK KR" w:cs="Noto Sans CJK KR" w:eastAsia="Noto Sans CJK KR" w:hAnsi="Noto Sans CJK KR"/>
          <w:sz w:val="20"/>
          <w:szCs w:val="20"/>
        </w:rPr>
        <w:t xml:space="preserve">응답 형식은 수준 문항 5점 빈도 척도(전혀 없음~거의 항상), 사건형 문항은 예/아니오와 날짜·기록 유형 기재로 한다.</w:t>
      </w:r>
    </w:p>
    <w:p>
      <w:pPr>
        <w:pStyle w:val="ListParagraph"/>
        <w:numPr>
          <w:ilvl w:val="0"/>
          <w:numId w:val="3"/>
        </w:numPr>
        <w:spacing w:after="80" w:line="290"/>
      </w:pPr>
      <w:r>
        <w:rPr>
          <w:rFonts w:ascii="Noto Sans CJK KR" w:cs="Noto Sans CJK KR" w:eastAsia="Noto Sans CJK KR" w:hAnsi="Noto Sans CJK KR"/>
          <w:sz w:val="20"/>
          <w:szCs w:val="20"/>
        </w:rPr>
        <w:t xml:space="preserve">제1판 초안에서 인접 국면과 겹치던 문항(S0-4 “계속 맞을지 살피고 있다”, S1-2 “유지 이유와 변경 이유가 맞선다”)은 S3의 비용 평가와 구분되지 않으므로 삭제 또는 수정하였다.</w:t>
      </w:r>
    </w:p>
    <w:p>
      <w:pPr>
        <w:pStyle w:val="Heading1"/>
        <w:pBdr>
          <w:bottom w:val="single" w:color="2E4A62" w:sz="6" w:space="4"/>
        </w:pBdr>
        <w:spacing w:after="160" w:before="360"/>
      </w:pPr>
      <w:r>
        <w:rPr>
          <w:rFonts w:ascii="Noto Sans CJK KR" w:cs="Noto Sans CJK KR" w:eastAsia="Noto Sans CJK KR" w:hAnsi="Noto Sans CJK KR"/>
          <w:b/>
          <w:bCs/>
          <w:color w:val="2E4A62"/>
          <w:sz w:val="28"/>
          <w:szCs w:val="28"/>
        </w:rPr>
        <w:t xml:space="preserve">4  전경합 S0 (Pre-contestation)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c>
          <w:tcPr>
            <w:tcW w:type="dxa" w:w="9720"/>
            <w:tcBorders>
              <w:top w:val="none" w:color="FFFFFF" w:sz="0"/>
              <w:left w:val="single" w:color="2E4A62" w:sz="18"/>
              <w:bottom w:val="none" w:color="FFFFFF" w:sz="0"/>
              <w:right w:val="none" w:color="FFFFFF" w:sz="0"/>
            </w:tcBorders>
            <w:shd w:fill="F7F9FB" w:color="auto" w:val="clear"/>
            <w:tcMar>
              <w:top w:type="dxa" w:w="120"/>
              <w:left w:type="dxa" w:w="180"/>
              <w:bottom w:type="dxa" w:w="120"/>
              <w:right w:type="dxa" w:w="180"/>
            </w:tcMar>
          </w:tcPr>
          <w:p>
            <w:pPr>
              <w:spacing w:line="300"/>
            </w:pPr>
            <w:r>
              <w:rPr>
                <w:rFonts w:ascii="Noto Sans CJK KR" w:cs="Noto Sans CJK KR" w:eastAsia="Noto Sans CJK KR" w:hAnsi="Noto Sans CJK KR"/>
                <w:b/>
                <w:bCs/>
                <w:color w:val="2E4A62"/>
                <w:sz w:val="20"/>
                <w:szCs w:val="20"/>
              </w:rPr>
              <w:t xml:space="preserve">개념 정의  </w:t>
            </w:r>
            <w:r>
              <w:rPr>
                <w:rFonts w:ascii="Noto Sans CJK KR" w:cs="Noto Sans CJK KR" w:eastAsia="Noto Sans CJK KR" w:hAnsi="Noto Sans CJK KR"/>
                <w:sz w:val="20"/>
                <w:szCs w:val="20"/>
              </w:rPr>
              <w:t xml:space="preserve">기존 체제의 표면적 기능은 유지되지만 기대와 현실, 요구와 자원, 가치와 관행 중 일부에서 설명되지 않은 불일치가 반복되는 잠재 국면이다. 대립하는 선택지는 아직 명시적으로 경쟁하지 않으며, 당사자는 불일치를 작은 예외로 해석한다.</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4"/>
        <w:gridCol w:w="7776"/>
      </w:tblGrid>
      <w:tr>
        <w:trPr>
          <w:tblHeader/>
        </w:trPr>
        <w:tc>
          <w:tcPr>
            <w:tcW w:type="dxa" w:w="194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명세 항목</w:t>
            </w:r>
          </w:p>
        </w:tc>
        <w:tc>
          <w:tcPr>
            <w:tcW w:type="dxa" w:w="777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판정 내용</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필수 속성</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① 동일 변화 대상에 관한 불일치의 반복, ② 현 방식의 표면적 기능 유지, ③ 문제 명명의 유보, ④ 공개적 대안 경쟁의 부재. ③과 ④가 S0을 S1과 구분하는 핵심이다.</w:t>
            </w:r>
          </w:p>
        </w:tc>
      </w:tr>
      <w:tr>
        <w:tc>
          <w:tcPr>
            <w:tcW w:type="dxa" w:w="19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전향적 판정</w:t>
            </w:r>
          </w:p>
        </w:tc>
        <w:tc>
          <w:tcPr>
            <w:tcW w:type="dxa" w:w="77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불일치 신호가 두 시점 이상 또는 두 자료원 이상에서 확인되고, [특] 문항(명명 유보·공식 문제제기 없음)이 참일 때 S0 후보이다.</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후향적 검증</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이후 S1로 이동하거나 B로 해소되는 비율이 B에 머물던 사람과 다른지 확인한다(P1).</w:t>
            </w:r>
          </w:p>
        </w:tc>
      </w:tr>
      <w:tr>
        <w:tc>
          <w:tcPr>
            <w:tcW w:type="dxa" w:w="19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이탈과 경로</w:t>
            </w:r>
          </w:p>
        </w:tc>
        <w:tc>
          <w:tcPr>
            <w:tcW w:type="dxa" w:w="77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불일치가 명명되고 양립하기 어려운 요구가 실제 선택을 제약하면 S1 후보이다. 불일치가 사라지면 B로 해소된다.</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제외</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처음부터 명확한 대안이 충돌하면 S1이다. 일회성 불만, 새 소식, 변화가 필요하다는 일반적 예감만으로는 S0이 아니다.</w:t>
            </w:r>
          </w:p>
        </w:tc>
      </w:tr>
      <w:tr>
        <w:tc>
          <w:tcPr>
            <w:tcW w:type="dxa" w:w="19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적용 사례</w:t>
            </w:r>
          </w:p>
        </w:tc>
        <w:tc>
          <w:tcPr>
            <w:tcW w:type="dxa" w:w="77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새 전산 절차가 현장 업무와 간헐적으로 맞지 않지만, 직원은 임시 수기로 보완하며 공식 논의 없이 업무를 이어간다.</w:t>
            </w:r>
          </w:p>
        </w:tc>
      </w:tr>
    </w:tbl>
    <w:p>
      <w:pPr>
        <w:pStyle w:val="Heading2"/>
        <w:spacing w:after="100" w:before="240"/>
      </w:pPr>
      <w:r>
        <w:rPr>
          <w:rFonts w:ascii="Noto Sans CJK KR" w:cs="Noto Sans CJK KR" w:eastAsia="Noto Sans CJK KR" w:hAnsi="Noto Sans CJK KR"/>
          <w:b/>
          <w:bCs/>
          <w:color w:val="2E4A62"/>
          <w:sz w:val="23"/>
          <w:szCs w:val="23"/>
        </w:rPr>
        <w:t xml:space="preserve">관찰 지표와 자료원</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8"/>
        <w:gridCol w:w="5346"/>
        <w:gridCol w:w="2916"/>
      </w:tblGrid>
      <w:tr>
        <w:trPr>
          <w:tblHeader/>
        </w:trPr>
        <w:tc>
          <w:tcPr>
            <w:tcW w:type="dxa" w:w="1458"/>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영역</w:t>
            </w:r>
          </w:p>
        </w:tc>
        <w:tc>
          <w:tcPr>
            <w:tcW w:type="dxa" w:w="534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후보 지표</w:t>
            </w:r>
          </w:p>
        </w:tc>
        <w:tc>
          <w:tcPr>
            <w:tcW w:type="dxa" w:w="291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자료원</w:t>
            </w:r>
          </w:p>
        </w:tc>
      </w:tr>
      <w:tr>
        <w:tc>
          <w:tcPr>
            <w:tcW w:type="dxa" w:w="145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인지</w:t>
            </w:r>
          </w:p>
        </w:tc>
        <w:tc>
          <w:tcPr>
            <w:tcW w:type="dxa" w:w="534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막연한 불편, 기대와 실제의 어긋남, 문제 명명 유보</w:t>
            </w:r>
          </w:p>
        </w:tc>
        <w:tc>
          <w:tcPr>
            <w:tcW w:type="dxa" w:w="29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패널, 면접</w:t>
            </w:r>
          </w:p>
        </w:tc>
      </w:tr>
      <w:tr>
        <w:tc>
          <w:tcPr>
            <w:tcW w:type="dxa" w:w="145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정서</w:t>
            </w:r>
          </w:p>
        </w:tc>
        <w:tc>
          <w:tcPr>
            <w:tcW w:type="dxa" w:w="534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낮은 수준의 답답함, 약한 긴장</w:t>
            </w:r>
          </w:p>
        </w:tc>
        <w:tc>
          <w:tcPr>
            <w:tcW w:type="dxa" w:w="291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패널</w:t>
            </w:r>
          </w:p>
        </w:tc>
      </w:tr>
      <w:tr>
        <w:tc>
          <w:tcPr>
            <w:tcW w:type="dxa" w:w="145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행동</w:t>
            </w:r>
          </w:p>
        </w:tc>
        <w:tc>
          <w:tcPr>
            <w:tcW w:type="dxa" w:w="534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임시 우회, 비공식 질문, 작은 예외 처리</w:t>
            </w:r>
          </w:p>
        </w:tc>
        <w:tc>
          <w:tcPr>
            <w:tcW w:type="dxa" w:w="29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패널, 업무 기록</w:t>
            </w:r>
          </w:p>
        </w:tc>
      </w:tr>
      <w:tr>
        <w:tc>
          <w:tcPr>
            <w:tcW w:type="dxa" w:w="145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관계·구조</w:t>
            </w:r>
          </w:p>
        </w:tc>
        <w:tc>
          <w:tcPr>
            <w:tcW w:type="dxa" w:w="534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공식 의제 부재, 절차와 현실의 작은 틈 누적</w:t>
            </w:r>
          </w:p>
        </w:tc>
        <w:tc>
          <w:tcPr>
            <w:tcW w:type="dxa" w:w="291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회의록, 면접</w:t>
            </w:r>
          </w:p>
        </w:tc>
      </w:tr>
      <w:tr>
        <w:tc>
          <w:tcPr>
            <w:tcW w:type="dxa" w:w="145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동태</w:t>
            </w:r>
          </w:p>
        </w:tc>
        <w:tc>
          <w:tcPr>
            <w:tcW w:type="dxa" w:w="534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불일치 사건 빈도의 증가 여부</w:t>
            </w:r>
          </w:p>
        </w:tc>
        <w:tc>
          <w:tcPr>
            <w:tcW w:type="dxa" w:w="29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반복 패널</w:t>
            </w:r>
          </w:p>
        </w:tc>
      </w:tr>
    </w:tbl>
    <w:p>
      <w:pPr>
        <w:pStyle w:val="Heading2"/>
        <w:spacing w:after="100" w:before="240"/>
      </w:pPr>
      <w:r>
        <w:rPr>
          <w:rFonts w:ascii="Noto Sans CJK KR" w:cs="Noto Sans CJK KR" w:eastAsia="Noto Sans CJK KR" w:hAnsi="Noto Sans CJK KR"/>
          <w:b/>
          <w:bCs/>
          <w:color w:val="2E4A62"/>
          <w:sz w:val="23"/>
          <w:szCs w:val="23"/>
        </w:rPr>
        <w:t xml:space="preserve">수정 후보문항</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
        <w:gridCol w:w="874"/>
        <w:gridCol w:w="7874"/>
      </w:tblGrid>
      <w:tr>
        <w:trPr>
          <w:tblHeader/>
        </w:trPr>
        <w:tc>
          <w:tcPr>
            <w:tcW w:type="dxa" w:w="972"/>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번호</w:t>
            </w:r>
          </w:p>
        </w:tc>
        <w:tc>
          <w:tcPr>
            <w:tcW w:type="dxa" w:w="87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유형</w:t>
            </w:r>
          </w:p>
        </w:tc>
        <w:tc>
          <w:tcPr>
            <w:tcW w:type="dxa" w:w="787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문항</w:t>
            </w:r>
          </w:p>
        </w:tc>
      </w:tr>
      <w:tr>
        <w:tc>
          <w:tcPr>
            <w:tcW w:type="dxa" w:w="97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S0-1</w:t>
            </w:r>
          </w:p>
        </w:tc>
        <w:tc>
          <w:tcPr>
            <w:tcW w:type="dxa" w:w="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누</w:t>
            </w:r>
          </w:p>
        </w:tc>
        <w:tc>
          <w:tcPr>
            <w:tcW w:type="dxa" w:w="7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지난 한 달 동안, 겉으로는 업무가 진행되었지만 [변화 대상]과 실제 업무 요구 사이의 작은 어긋남이 반복되었다.</w:t>
            </w:r>
          </w:p>
        </w:tc>
      </w:tr>
      <w:tr>
        <w:tc>
          <w:tcPr>
            <w:tcW w:type="dxa" w:w="97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S0-2</w:t>
            </w:r>
          </w:p>
        </w:tc>
        <w:tc>
          <w:tcPr>
            <w:tcW w:type="dxa" w:w="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특</w:t>
            </w:r>
          </w:p>
        </w:tc>
        <w:tc>
          <w:tcPr>
            <w:tcW w:type="dxa" w:w="7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[변화 대상]의 무엇이 문제인지 아직 분명하게 말로 설명하기 어렵다.</w:t>
            </w:r>
          </w:p>
        </w:tc>
      </w:tr>
      <w:tr>
        <w:tc>
          <w:tcPr>
            <w:tcW w:type="dxa" w:w="97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S0-3</w:t>
            </w:r>
          </w:p>
        </w:tc>
        <w:tc>
          <w:tcPr>
            <w:tcW w:type="dxa" w:w="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특</w:t>
            </w:r>
          </w:p>
        </w:tc>
        <w:tc>
          <w:tcPr>
            <w:tcW w:type="dxa" w:w="7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[변화 대상]과 관련된 어긋남을 공식적인 자리에서 문제로 제기한 적은 아직 없다.</w:t>
            </w:r>
          </w:p>
        </w:tc>
      </w:tr>
      <w:tr>
        <w:tc>
          <w:tcPr>
            <w:tcW w:type="dxa" w:w="97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S0-4</w:t>
            </w:r>
          </w:p>
        </w:tc>
        <w:tc>
          <w:tcPr>
            <w:tcW w:type="dxa" w:w="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누</w:t>
            </w:r>
          </w:p>
        </w:tc>
        <w:tc>
          <w:tcPr>
            <w:tcW w:type="dxa" w:w="7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어긋남을 메우기 위해 수기 보완이나 개인적인 우회 방법을 사용한 적이 있다.</w:t>
            </w:r>
          </w:p>
        </w:tc>
      </w:tr>
    </w:tbl>
    <w:p>
      <w:pPr>
        <w:pStyle w:val="Heading2"/>
        <w:spacing w:after="100" w:before="240"/>
      </w:pPr>
      <w:r>
        <w:rPr>
          <w:rFonts w:ascii="Noto Sans CJK KR" w:cs="Noto Sans CJK KR" w:eastAsia="Noto Sans CJK KR" w:hAnsi="Noto Sans CJK KR"/>
          <w:b/>
          <w:bCs/>
          <w:color w:val="2E4A62"/>
          <w:sz w:val="23"/>
          <w:szCs w:val="23"/>
        </w:rPr>
        <w:t xml:space="preserve">반증 검정</w:t>
      </w:r>
    </w:p>
    <w:p>
      <w:pPr>
        <w:spacing w:after="120" w:line="300"/>
        <w:jc w:val="both"/>
      </w:pPr>
      <w:r>
        <w:rPr>
          <w:rFonts w:ascii="Noto Sans CJK KR" w:cs="Noto Sans CJK KR" w:eastAsia="Noto Sans CJK KR" w:hAnsi="Noto Sans CJK KR"/>
          <w:sz w:val="20"/>
          <w:szCs w:val="20"/>
        </w:rPr>
        <w:t xml:space="preserve">(P1) 월별 LTA에서 S0을 포함한 모형과 S0을 B 또는 S1에 통합한 모형을 BIC, 표본크기 조정 BIC, 엔트로피로 비교한다. 동시에 S0의 예측타당도, 즉 P(S0→S1)이 P(B→S1)보다 큰지를 확인한다. 통합 모형이 우세하고 두 전이확률 차이의 신뢰구간이 0을 포함하면 S0을 독립 국면에서 제외하고 5국면 모형으로 수정한다.</w:t>
      </w:r>
    </w:p>
    <w:p>
      <w:pPr>
        <w:pStyle w:val="Heading1"/>
        <w:pBdr>
          <w:bottom w:val="single" w:color="2E4A62" w:sz="6" w:space="4"/>
        </w:pBdr>
        <w:spacing w:after="160" w:before="360"/>
      </w:pPr>
      <w:r>
        <w:rPr>
          <w:rFonts w:ascii="Noto Sans CJK KR" w:cs="Noto Sans CJK KR" w:eastAsia="Noto Sans CJK KR" w:hAnsi="Noto Sans CJK KR"/>
          <w:b/>
          <w:bCs/>
          <w:color w:val="2E4A62"/>
          <w:sz w:val="28"/>
          <w:szCs w:val="28"/>
        </w:rPr>
        <w:t xml:space="preserve">5  경합 S1 (Contestation)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c>
          <w:tcPr>
            <w:tcW w:type="dxa" w:w="9720"/>
            <w:tcBorders>
              <w:top w:val="none" w:color="FFFFFF" w:sz="0"/>
              <w:left w:val="single" w:color="2E4A62" w:sz="18"/>
              <w:bottom w:val="none" w:color="FFFFFF" w:sz="0"/>
              <w:right w:val="none" w:color="FFFFFF" w:sz="0"/>
            </w:tcBorders>
            <w:shd w:fill="F7F9FB" w:color="auto" w:val="clear"/>
            <w:tcMar>
              <w:top w:type="dxa" w:w="120"/>
              <w:left w:type="dxa" w:w="180"/>
              <w:bottom w:type="dxa" w:w="120"/>
              <w:right w:type="dxa" w:w="180"/>
            </w:tcMar>
          </w:tcPr>
          <w:p>
            <w:pPr>
              <w:spacing w:line="300"/>
            </w:pPr>
            <w:r>
              <w:rPr>
                <w:rFonts w:ascii="Noto Sans CJK KR" w:cs="Noto Sans CJK KR" w:eastAsia="Noto Sans CJK KR" w:hAnsi="Noto Sans CJK KR"/>
                <w:b/>
                <w:bCs/>
                <w:color w:val="2E4A62"/>
                <w:sz w:val="20"/>
                <w:szCs w:val="20"/>
              </w:rPr>
              <w:t xml:space="preserve">개념 정의  </w:t>
            </w:r>
            <w:r>
              <w:rPr>
                <w:rFonts w:ascii="Noto Sans CJK KR" w:cs="Noto Sans CJK KR" w:eastAsia="Noto Sans CJK KR" w:hAnsi="Noto Sans CJK KR"/>
                <w:sz w:val="20"/>
                <w:szCs w:val="20"/>
              </w:rPr>
              <w:t xml:space="preserve">현 상태 유지와 변화, 또는 서로 다른 요구·가치·역할·자원 배분 방식 중 적어도 두 힘이 실제로 활성화되어 선택을 제약하는 국면이다. 기존 체제로 돌아오는 복원력은 대체로 유지된다.</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4"/>
        <w:gridCol w:w="7776"/>
      </w:tblGrid>
      <w:tr>
        <w:trPr>
          <w:tblHeader/>
        </w:trPr>
        <w:tc>
          <w:tcPr>
            <w:tcW w:type="dxa" w:w="194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명세 항목</w:t>
            </w:r>
          </w:p>
        </w:tc>
        <w:tc>
          <w:tcPr>
            <w:tcW w:type="dxa" w:w="777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판정 내용</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필수 속성</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① 양립하기 어려운 두 요구의 구체적 명명, ② 선택·우선순위·자원 배분의 반복적 제약, ③ 기존 대응의 기능 유지. ③이 S1을 S2와 구분하는 핵심이다.</w:t>
            </w:r>
          </w:p>
        </w:tc>
      </w:tr>
      <w:tr>
        <w:tc>
          <w:tcPr>
            <w:tcW w:type="dxa" w:w="19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전향적 판정</w:t>
            </w:r>
          </w:p>
        </w:tc>
        <w:tc>
          <w:tcPr>
            <w:tcW w:type="dxa" w:w="77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두 요구를 구체적으로 명명할 수 있고(누적형), 선택 제약이 반복되며, 기능 유지 문항(S1-4, 특)이 참일 때 S1 후보이다.</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후향적 검증</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동일 개인의 S1 구간과 S2 구간에서 교란 후 회복시간이 실제로 다른지 확인한다(P3).</w:t>
            </w:r>
          </w:p>
        </w:tc>
      </w:tr>
      <w:tr>
        <w:tc>
          <w:tcPr>
            <w:tcW w:type="dxa" w:w="19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이탈과 경로</w:t>
            </w:r>
          </w:p>
        </w:tc>
        <w:tc>
          <w:tcPr>
            <w:tcW w:type="dxa" w:w="77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교란 후 복귀가 느려지고 업무·정서·관계 패턴이 반복적으로 불안정해지면 S2 후보이다. 갈등이 해소되면 S0 또는 B로 돌아간다.</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제외</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업무량이 많아도 목표가 양립 가능하면 S1이 아니다. 복원력 약화가 이미 지속되면 S2 여부를 추가 평가한다.</w:t>
            </w:r>
          </w:p>
        </w:tc>
      </w:tr>
      <w:tr>
        <w:tc>
          <w:tcPr>
            <w:tcW w:type="dxa" w:w="19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적용 사례</w:t>
            </w:r>
          </w:p>
        </w:tc>
        <w:tc>
          <w:tcPr>
            <w:tcW w:type="dxa" w:w="77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기존 결재 속도를 유지하라는 요구와 새 증빙 기준을 충족하라는 요구가 충돌해 우선순위를 반복 조정하지만, 절차를 바꾸지 않고도 마감을 대체로 지킨다.</w:t>
            </w:r>
          </w:p>
        </w:tc>
      </w:tr>
    </w:tbl>
    <w:p>
      <w:pPr>
        <w:pStyle w:val="Heading2"/>
        <w:spacing w:after="100" w:before="240"/>
      </w:pPr>
      <w:r>
        <w:rPr>
          <w:rFonts w:ascii="Noto Sans CJK KR" w:cs="Noto Sans CJK KR" w:eastAsia="Noto Sans CJK KR" w:hAnsi="Noto Sans CJK KR"/>
          <w:b/>
          <w:bCs/>
          <w:color w:val="2E4A62"/>
          <w:sz w:val="23"/>
          <w:szCs w:val="23"/>
        </w:rPr>
        <w:t xml:space="preserve">관찰 지표와 자료원</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8"/>
        <w:gridCol w:w="5346"/>
        <w:gridCol w:w="2916"/>
      </w:tblGrid>
      <w:tr>
        <w:trPr>
          <w:tblHeader/>
        </w:trPr>
        <w:tc>
          <w:tcPr>
            <w:tcW w:type="dxa" w:w="1458"/>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영역</w:t>
            </w:r>
          </w:p>
        </w:tc>
        <w:tc>
          <w:tcPr>
            <w:tcW w:type="dxa" w:w="534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후보 지표</w:t>
            </w:r>
          </w:p>
        </w:tc>
        <w:tc>
          <w:tcPr>
            <w:tcW w:type="dxa" w:w="291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자료원</w:t>
            </w:r>
          </w:p>
        </w:tc>
      </w:tr>
      <w:tr>
        <w:tc>
          <w:tcPr>
            <w:tcW w:type="dxa" w:w="145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인지</w:t>
            </w:r>
          </w:p>
        </w:tc>
        <w:tc>
          <w:tcPr>
            <w:tcW w:type="dxa" w:w="534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대안 비교, 우선순위 갈등, 반복적 숙고</w:t>
            </w:r>
          </w:p>
        </w:tc>
        <w:tc>
          <w:tcPr>
            <w:tcW w:type="dxa" w:w="29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패널, 면접</w:t>
            </w:r>
          </w:p>
        </w:tc>
      </w:tr>
      <w:tr>
        <w:tc>
          <w:tcPr>
            <w:tcW w:type="dxa" w:w="145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정서</w:t>
            </w:r>
          </w:p>
        </w:tc>
        <w:tc>
          <w:tcPr>
            <w:tcW w:type="dxa" w:w="534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긴장, 양가감정, 기대와 좌절의 교차</w:t>
            </w:r>
          </w:p>
        </w:tc>
        <w:tc>
          <w:tcPr>
            <w:tcW w:type="dxa" w:w="291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패널</w:t>
            </w:r>
          </w:p>
        </w:tc>
      </w:tr>
      <w:tr>
        <w:tc>
          <w:tcPr>
            <w:tcW w:type="dxa" w:w="145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행동</w:t>
            </w:r>
          </w:p>
        </w:tc>
        <w:tc>
          <w:tcPr>
            <w:tcW w:type="dxa" w:w="534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협상, 저항, 결정 번복, 자원 확보 시도</w:t>
            </w:r>
          </w:p>
        </w:tc>
        <w:tc>
          <w:tcPr>
            <w:tcW w:type="dxa" w:w="29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패널, 업무 기록</w:t>
            </w:r>
          </w:p>
        </w:tc>
      </w:tr>
      <w:tr>
        <w:tc>
          <w:tcPr>
            <w:tcW w:type="dxa" w:w="145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관계·구조</w:t>
            </w:r>
          </w:p>
        </w:tc>
        <w:tc>
          <w:tcPr>
            <w:tcW w:type="dxa" w:w="534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역할 갈등, 상충하는 평가 지표, 책임 다툼</w:t>
            </w:r>
          </w:p>
        </w:tc>
        <w:tc>
          <w:tcPr>
            <w:tcW w:type="dxa" w:w="291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면접, 조직 문서</w:t>
            </w:r>
          </w:p>
        </w:tc>
      </w:tr>
      <w:tr>
        <w:tc>
          <w:tcPr>
            <w:tcW w:type="dxa" w:w="145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동태</w:t>
            </w:r>
          </w:p>
        </w:tc>
        <w:tc>
          <w:tcPr>
            <w:tcW w:type="dxa" w:w="534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갈등 빈도는 늘 수 있으나 회복 기능은 유지</w:t>
            </w:r>
          </w:p>
        </w:tc>
        <w:tc>
          <w:tcPr>
            <w:tcW w:type="dxa" w:w="29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반복 패널, 일지</w:t>
            </w:r>
          </w:p>
        </w:tc>
      </w:tr>
    </w:tbl>
    <w:p>
      <w:pPr>
        <w:pStyle w:val="Heading2"/>
        <w:spacing w:after="100" w:before="240"/>
      </w:pPr>
      <w:r>
        <w:rPr>
          <w:rFonts w:ascii="Noto Sans CJK KR" w:cs="Noto Sans CJK KR" w:eastAsia="Noto Sans CJK KR" w:hAnsi="Noto Sans CJK KR"/>
          <w:b/>
          <w:bCs/>
          <w:color w:val="2E4A62"/>
          <w:sz w:val="23"/>
          <w:szCs w:val="23"/>
        </w:rPr>
        <w:t xml:space="preserve">수정 후보문항</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
        <w:gridCol w:w="874"/>
        <w:gridCol w:w="7874"/>
      </w:tblGrid>
      <w:tr>
        <w:trPr>
          <w:tblHeader/>
        </w:trPr>
        <w:tc>
          <w:tcPr>
            <w:tcW w:type="dxa" w:w="972"/>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번호</w:t>
            </w:r>
          </w:p>
        </w:tc>
        <w:tc>
          <w:tcPr>
            <w:tcW w:type="dxa" w:w="87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유형</w:t>
            </w:r>
          </w:p>
        </w:tc>
        <w:tc>
          <w:tcPr>
            <w:tcW w:type="dxa" w:w="787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문항</w:t>
            </w:r>
          </w:p>
        </w:tc>
      </w:tr>
      <w:tr>
        <w:tc>
          <w:tcPr>
            <w:tcW w:type="dxa" w:w="97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S1-1</w:t>
            </w:r>
          </w:p>
        </w:tc>
        <w:tc>
          <w:tcPr>
            <w:tcW w:type="dxa" w:w="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누</w:t>
            </w:r>
          </w:p>
        </w:tc>
        <w:tc>
          <w:tcPr>
            <w:tcW w:type="dxa" w:w="7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[변화 대상]과 관련하여 서로 양립하기 어려운 업무 요구 두 가지를 구체적으로 말할 수 있다.</w:t>
            </w:r>
          </w:p>
        </w:tc>
      </w:tr>
      <w:tr>
        <w:tc>
          <w:tcPr>
            <w:tcW w:type="dxa" w:w="97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S1-2</w:t>
            </w:r>
          </w:p>
        </w:tc>
        <w:tc>
          <w:tcPr>
            <w:tcW w:type="dxa" w:w="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누</w:t>
            </w:r>
          </w:p>
        </w:tc>
        <w:tc>
          <w:tcPr>
            <w:tcW w:type="dxa" w:w="7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지난 한 달 동안, 한 요구에 맞추면 다른 중요한 요구를 포기해야 하는 상황이 반복되었다.</w:t>
            </w:r>
          </w:p>
        </w:tc>
      </w:tr>
      <w:tr>
        <w:tc>
          <w:tcPr>
            <w:tcW w:type="dxa" w:w="97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S1-3</w:t>
            </w:r>
          </w:p>
        </w:tc>
        <w:tc>
          <w:tcPr>
            <w:tcW w:type="dxa" w:w="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누</w:t>
            </w:r>
          </w:p>
        </w:tc>
        <w:tc>
          <w:tcPr>
            <w:tcW w:type="dxa" w:w="7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충돌하는 기준 때문에 업무의 우선순위 결정이 늦어지거나 번복된 적이 있다.</w:t>
            </w:r>
          </w:p>
        </w:tc>
      </w:tr>
      <w:tr>
        <w:tc>
          <w:tcPr>
            <w:tcW w:type="dxa" w:w="97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S1-4</w:t>
            </w:r>
          </w:p>
        </w:tc>
        <w:tc>
          <w:tcPr>
            <w:tcW w:type="dxa" w:w="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특</w:t>
            </w:r>
          </w:p>
        </w:tc>
        <w:tc>
          <w:tcPr>
            <w:tcW w:type="dxa" w:w="7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요구가 충돌하지만 기존 방식으로도 마감과 핵심 업무는 대체로 지켜지고 있다.</w:t>
            </w:r>
          </w:p>
        </w:tc>
      </w:tr>
    </w:tbl>
    <w:p>
      <w:pPr>
        <w:pStyle w:val="Heading2"/>
        <w:spacing w:after="100" w:before="240"/>
      </w:pPr>
      <w:r>
        <w:rPr>
          <w:rFonts w:ascii="Noto Sans CJK KR" w:cs="Noto Sans CJK KR" w:eastAsia="Noto Sans CJK KR" w:hAnsi="Noto Sans CJK KR"/>
          <w:b/>
          <w:bCs/>
          <w:color w:val="2E4A62"/>
          <w:sz w:val="23"/>
          <w:szCs w:val="23"/>
        </w:rPr>
        <w:t xml:space="preserve">반증 검정</w:t>
      </w:r>
    </w:p>
    <w:p>
      <w:pPr>
        <w:spacing w:after="120" w:line="300"/>
        <w:jc w:val="both"/>
      </w:pPr>
      <w:r>
        <w:rPr>
          <w:rFonts w:ascii="Noto Sans CJK KR" w:cs="Noto Sans CJK KR" w:eastAsia="Noto Sans CJK KR" w:hAnsi="Noto Sans CJK KR"/>
          <w:sz w:val="20"/>
          <w:szCs w:val="20"/>
        </w:rPr>
        <w:t xml:space="preserve">(P2, P3) 경합의 강도와 지속기간이 이후 동태적 회복 지연(S2 지표)을 예측하는지 다층모형으로 검정한다. 예측하지 못하면 S1→S2 명제를 “가능 경로”로 제한한다. 또한 S1-4가 S2 진입 이후에도 참으로 유지되는 비율이 높으면 기능 유지 기준을 재정의한다.</w:t>
      </w:r>
    </w:p>
    <w:p>
      <w:pPr>
        <w:pStyle w:val="Heading1"/>
        <w:pBdr>
          <w:bottom w:val="single" w:color="2E4A62" w:sz="6" w:space="4"/>
        </w:pBdr>
        <w:spacing w:after="160" w:before="360"/>
      </w:pPr>
      <w:r>
        <w:rPr>
          <w:rFonts w:ascii="Noto Sans CJK KR" w:cs="Noto Sans CJK KR" w:eastAsia="Noto Sans CJK KR" w:hAnsi="Noto Sans CJK KR"/>
          <w:b/>
          <w:bCs/>
          <w:color w:val="2E4A62"/>
          <w:sz w:val="28"/>
          <w:szCs w:val="28"/>
        </w:rPr>
        <w:t xml:space="preserve">6  경계 S2 (Boundary)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c>
          <w:tcPr>
            <w:tcW w:type="dxa" w:w="9720"/>
            <w:tcBorders>
              <w:top w:val="none" w:color="FFFFFF" w:sz="0"/>
              <w:left w:val="single" w:color="2E4A62" w:sz="18"/>
              <w:bottom w:val="none" w:color="FFFFFF" w:sz="0"/>
              <w:right w:val="none" w:color="FFFFFF" w:sz="0"/>
            </w:tcBorders>
            <w:shd w:fill="F7F9FB" w:color="auto" w:val="clear"/>
            <w:tcMar>
              <w:top w:type="dxa" w:w="120"/>
              <w:left w:type="dxa" w:w="180"/>
              <w:bottom w:type="dxa" w:w="120"/>
              <w:right w:type="dxa" w:w="180"/>
            </w:tcMar>
          </w:tcPr>
          <w:p>
            <w:pPr>
              <w:spacing w:line="300"/>
            </w:pPr>
            <w:r>
              <w:rPr>
                <w:rFonts w:ascii="Noto Sans CJK KR" w:cs="Noto Sans CJK KR" w:eastAsia="Noto Sans CJK KR" w:hAnsi="Noto Sans CJK KR"/>
                <w:b/>
                <w:bCs/>
                <w:color w:val="2E4A62"/>
                <w:sz w:val="20"/>
                <w:szCs w:val="20"/>
              </w:rPr>
              <w:t xml:space="preserve">개념 정의  </w:t>
            </w:r>
            <w:r>
              <w:rPr>
                <w:rFonts w:ascii="Noto Sans CJK KR" w:cs="Noto Sans CJK KR" w:eastAsia="Noto Sans CJK KR" w:hAnsi="Noto Sans CJK KR"/>
                <w:sz w:val="20"/>
                <w:szCs w:val="20"/>
              </w:rPr>
              <w:t xml:space="preserve">기존 대응이 작동하던 범위의 끝에 가까워져, 작은 교란 뒤 원래 수준으로 돌아오는 능력이 약해진 취약 국면이다. 고통의 크기가 아니라 개인 내 기준선 대비 회복 지연과 수행 패턴의 불안정성이 핵심이다.</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4"/>
        <w:gridCol w:w="7776"/>
      </w:tblGrid>
      <w:tr>
        <w:trPr>
          <w:tblHeader/>
        </w:trPr>
        <w:tc>
          <w:tcPr>
            <w:tcW w:type="dxa" w:w="194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명세 항목</w:t>
            </w:r>
          </w:p>
        </w:tc>
        <w:tc>
          <w:tcPr>
            <w:tcW w:type="dxa" w:w="777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판정 내용</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필수 속성</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개인 내 기준선과 비교한 ① 교란 후 회복시간의 증가, ② 변동성(분산)의 증가, ③ 업무·관계 연결을 통한 차질 전파. 원인(경합)과 결과(회복 지연)를 같은 표현으로 측정하지 않는다.</w:t>
            </w:r>
          </w:p>
        </w:tc>
      </w:tr>
      <w:tr>
        <w:tc>
          <w:tcPr>
            <w:tcW w:type="dxa" w:w="19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전향적 판정</w:t>
            </w:r>
          </w:p>
        </w:tc>
        <w:tc>
          <w:tcPr>
            <w:tcW w:type="dxa" w:w="77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지각된 회복 지연 문항(대리 지표)과 독립 자료원(일지 지표, 업무 기록의 재작업·지연, 동료 관찰) 중 하나 이상이 합치할 때 S2 후보이다. 기준선이 없으면 “S2 후보(기준선 없음)”로 표시한다.</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후향적 검증</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전이 이전 구간에서 회복시간·자기상관·분산이 상승하는지, 그리고 이 상승이 안정 구간과 구별되는지 확인한다(P5).</w:t>
            </w:r>
          </w:p>
        </w:tc>
      </w:tr>
      <w:tr>
        <w:tc>
          <w:tcPr>
            <w:tcW w:type="dxa" w:w="19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이탈과 경로</w:t>
            </w:r>
          </w:p>
        </w:tc>
        <w:tc>
          <w:tcPr>
            <w:tcW w:type="dxa" w:w="77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비용 비교·대안 확인·실행 준비가 전면화되면 S3 후보이다. 조정에 성공하면 S1로 돌아간다.</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제외</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늘 높은 스트레스라도 일정하고 안정적이면 S2가 아니다. 소진·우울과 겹치는 지표가 있으므로 임상 진단으로 해석하지 않는다.</w:t>
            </w:r>
          </w:p>
        </w:tc>
      </w:tr>
      <w:tr>
        <w:tc>
          <w:tcPr>
            <w:tcW w:type="dxa" w:w="19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적용 사례</w:t>
            </w:r>
          </w:p>
        </w:tc>
        <w:tc>
          <w:tcPr>
            <w:tcW w:type="dxa" w:w="77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예전에는 하루 만에 정리되던 서류 오류가 같은 조건에서 며칠간 후속 업무에 영향을 주고, 협업과 마감의 기복이 커진다.</w:t>
            </w:r>
          </w:p>
        </w:tc>
      </w:tr>
    </w:tbl>
    <w:p>
      <w:pPr>
        <w:pStyle w:val="Heading2"/>
        <w:spacing w:after="100" w:before="240"/>
      </w:pPr>
      <w:r>
        <w:rPr>
          <w:rFonts w:ascii="Noto Sans CJK KR" w:cs="Noto Sans CJK KR" w:eastAsia="Noto Sans CJK KR" w:hAnsi="Noto Sans CJK KR"/>
          <w:b/>
          <w:bCs/>
          <w:color w:val="2E4A62"/>
          <w:sz w:val="23"/>
          <w:szCs w:val="23"/>
        </w:rPr>
        <w:t xml:space="preserve">관찰 지표와 자료원</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8"/>
        <w:gridCol w:w="5346"/>
        <w:gridCol w:w="2916"/>
      </w:tblGrid>
      <w:tr>
        <w:trPr>
          <w:tblHeader/>
        </w:trPr>
        <w:tc>
          <w:tcPr>
            <w:tcW w:type="dxa" w:w="1458"/>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영역</w:t>
            </w:r>
          </w:p>
        </w:tc>
        <w:tc>
          <w:tcPr>
            <w:tcW w:type="dxa" w:w="534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후보 지표</w:t>
            </w:r>
          </w:p>
        </w:tc>
        <w:tc>
          <w:tcPr>
            <w:tcW w:type="dxa" w:w="291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자료원</w:t>
            </w:r>
          </w:p>
        </w:tc>
      </w:tr>
      <w:tr>
        <w:tc>
          <w:tcPr>
            <w:tcW w:type="dxa" w:w="145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인지</w:t>
            </w:r>
          </w:p>
        </w:tc>
        <w:tc>
          <w:tcPr>
            <w:tcW w:type="dxa" w:w="534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판단 지연, 기존 대응 방식에 대한 불신</w:t>
            </w:r>
          </w:p>
        </w:tc>
        <w:tc>
          <w:tcPr>
            <w:tcW w:type="dxa" w:w="29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패널, 면접</w:t>
            </w:r>
          </w:p>
        </w:tc>
      </w:tr>
      <w:tr>
        <w:tc>
          <w:tcPr>
            <w:tcW w:type="dxa" w:w="145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정서</w:t>
            </w:r>
          </w:p>
        </w:tc>
        <w:tc>
          <w:tcPr>
            <w:tcW w:type="dxa" w:w="534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같은 충격 후 긴장 회복 지연, 기복 증가</w:t>
            </w:r>
          </w:p>
        </w:tc>
        <w:tc>
          <w:tcPr>
            <w:tcW w:type="dxa" w:w="291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일지</w:t>
            </w:r>
          </w:p>
        </w:tc>
      </w:tr>
      <w:tr>
        <w:tc>
          <w:tcPr>
            <w:tcW w:type="dxa" w:w="145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행동</w:t>
            </w:r>
          </w:p>
        </w:tc>
        <w:tc>
          <w:tcPr>
            <w:tcW w:type="dxa" w:w="534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재작업 증가, 마감의 불규칙성, 침묵</w:t>
            </w:r>
          </w:p>
        </w:tc>
        <w:tc>
          <w:tcPr>
            <w:tcW w:type="dxa" w:w="29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업무 기록, 일지</w:t>
            </w:r>
          </w:p>
        </w:tc>
      </w:tr>
      <w:tr>
        <w:tc>
          <w:tcPr>
            <w:tcW w:type="dxa" w:w="145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관계·구조</w:t>
            </w:r>
          </w:p>
        </w:tc>
        <w:tc>
          <w:tcPr>
            <w:tcW w:type="dxa" w:w="534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연계 병목, 예외 처리 누적, 협업 응답 지연</w:t>
            </w:r>
          </w:p>
        </w:tc>
        <w:tc>
          <w:tcPr>
            <w:tcW w:type="dxa" w:w="291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업무 기록, 동료 관찰</w:t>
            </w:r>
          </w:p>
        </w:tc>
      </w:tr>
      <w:tr>
        <w:tc>
          <w:tcPr>
            <w:tcW w:type="dxa" w:w="145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동태(1차)</w:t>
            </w:r>
          </w:p>
        </w:tc>
        <w:tc>
          <w:tcPr>
            <w:tcW w:type="dxa" w:w="534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교란 사건 후 기준선 복귀까지의 시간, 이동창 AR(1)·표준편차</w:t>
            </w:r>
          </w:p>
        </w:tc>
        <w:tc>
          <w:tcPr>
            <w:tcW w:type="dxa" w:w="29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측정 버스트 일지 + 교란 사건 로그</w:t>
            </w:r>
          </w:p>
        </w:tc>
      </w:tr>
    </w:tbl>
    <w:p>
      <w:pPr>
        <w:pStyle w:val="Heading2"/>
        <w:spacing w:after="100" w:before="240"/>
      </w:pPr>
      <w:r>
        <w:rPr>
          <w:rFonts w:ascii="Noto Sans CJK KR" w:cs="Noto Sans CJK KR" w:eastAsia="Noto Sans CJK KR" w:hAnsi="Noto Sans CJK KR"/>
          <w:b/>
          <w:bCs/>
          <w:color w:val="2E4A62"/>
          <w:sz w:val="23"/>
          <w:szCs w:val="23"/>
        </w:rPr>
        <w:t xml:space="preserve">수정 후보문항</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
        <w:gridCol w:w="874"/>
        <w:gridCol w:w="7874"/>
      </w:tblGrid>
      <w:tr>
        <w:trPr>
          <w:tblHeader/>
        </w:trPr>
        <w:tc>
          <w:tcPr>
            <w:tcW w:type="dxa" w:w="972"/>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번호</w:t>
            </w:r>
          </w:p>
        </w:tc>
        <w:tc>
          <w:tcPr>
            <w:tcW w:type="dxa" w:w="87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유형</w:t>
            </w:r>
          </w:p>
        </w:tc>
        <w:tc>
          <w:tcPr>
            <w:tcW w:type="dxa" w:w="787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문항</w:t>
            </w:r>
          </w:p>
        </w:tc>
      </w:tr>
      <w:tr>
        <w:tc>
          <w:tcPr>
            <w:tcW w:type="dxa" w:w="97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S2-1</w:t>
            </w:r>
          </w:p>
        </w:tc>
        <w:tc>
          <w:tcPr>
            <w:tcW w:type="dxa" w:w="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특</w:t>
            </w:r>
          </w:p>
        </w:tc>
        <w:tc>
          <w:tcPr>
            <w:tcW w:type="dxa" w:w="7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[변화 대상] 도입 이전과 비교하여, 비슷한 작은 차질이 생긴 뒤 평소 업무 흐름을 되찾는 데 더 오래 걸린다.</w:t>
            </w:r>
          </w:p>
        </w:tc>
      </w:tr>
      <w:tr>
        <w:tc>
          <w:tcPr>
            <w:tcW w:type="dxa" w:w="97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S2-2</w:t>
            </w:r>
          </w:p>
        </w:tc>
        <w:tc>
          <w:tcPr>
            <w:tcW w:type="dxa" w:w="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특</w:t>
            </w:r>
          </w:p>
        </w:tc>
        <w:tc>
          <w:tcPr>
            <w:tcW w:type="dxa" w:w="7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예전에는 통하던 대응 방식이 같은 종류의 문제에 최근 잘 작동하지 않는다.</w:t>
            </w:r>
          </w:p>
        </w:tc>
      </w:tr>
      <w:tr>
        <w:tc>
          <w:tcPr>
            <w:tcW w:type="dxa" w:w="97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S2-3</w:t>
            </w:r>
          </w:p>
        </w:tc>
        <w:tc>
          <w:tcPr>
            <w:tcW w:type="dxa" w:w="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누</w:t>
            </w:r>
          </w:p>
        </w:tc>
        <w:tc>
          <w:tcPr>
            <w:tcW w:type="dxa" w:w="7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지난 한 달 동안, 작은 차질이 다른 업무나 협업으로 번져 며칠 이상 영향을 미친 적이 있다.</w:t>
            </w:r>
          </w:p>
        </w:tc>
      </w:tr>
      <w:tr>
        <w:tc>
          <w:tcPr>
            <w:tcW w:type="dxa" w:w="97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S2-4</w:t>
            </w:r>
          </w:p>
        </w:tc>
        <w:tc>
          <w:tcPr>
            <w:tcW w:type="dxa" w:w="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특</w:t>
            </w:r>
          </w:p>
        </w:tc>
        <w:tc>
          <w:tcPr>
            <w:tcW w:type="dxa" w:w="7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[변화 대상] 도입 이전과 비교하여, 주 단위 업무 성과의 기복이 커졌다.</w:t>
            </w:r>
          </w:p>
        </w:tc>
      </w:tr>
      <w:tr>
        <w:tc>
          <w:tcPr>
            <w:tcW w:type="dxa" w:w="97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D-1</w:t>
            </w:r>
          </w:p>
        </w:tc>
        <w:tc>
          <w:tcPr>
            <w:tcW w:type="dxa" w:w="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일지</w:t>
            </w:r>
          </w:p>
        </w:tc>
        <w:tc>
          <w:tcPr>
            <w:tcW w:type="dxa" w:w="7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오늘의 업무 흐름은 어느 정도였습니까? (0 전혀 막힘 ~ 10 매우 원활)</w:t>
            </w:r>
          </w:p>
        </w:tc>
      </w:tr>
      <w:tr>
        <w:tc>
          <w:tcPr>
            <w:tcW w:type="dxa" w:w="97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D-2</w:t>
            </w:r>
          </w:p>
        </w:tc>
        <w:tc>
          <w:tcPr>
            <w:tcW w:type="dxa" w:w="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일지</w:t>
            </w:r>
          </w:p>
        </w:tc>
        <w:tc>
          <w:tcPr>
            <w:tcW w:type="dxa" w:w="7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오늘 [변화 대상]과 관련된 차질이 있었습니까? (예/아니오, 유형 선택)</w:t>
            </w:r>
          </w:p>
        </w:tc>
      </w:tr>
      <w:tr>
        <w:tc>
          <w:tcPr>
            <w:tcW w:type="dxa" w:w="97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D-3</w:t>
            </w:r>
          </w:p>
        </w:tc>
        <w:tc>
          <w:tcPr>
            <w:tcW w:type="dxa" w:w="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일지</w:t>
            </w:r>
          </w:p>
        </w:tc>
        <w:tc>
          <w:tcPr>
            <w:tcW w:type="dxa" w:w="7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오늘 업무 중 느낀 긴장의 정도는? (0~10)</w:t>
            </w:r>
          </w:p>
        </w:tc>
      </w:tr>
    </w:tbl>
    <w:p>
      <w:pPr>
        <w:pStyle w:val="Heading2"/>
        <w:spacing w:after="100" w:before="240"/>
      </w:pPr>
      <w:r>
        <w:rPr>
          <w:rFonts w:ascii="Noto Sans CJK KR" w:cs="Noto Sans CJK KR" w:eastAsia="Noto Sans CJK KR" w:hAnsi="Noto Sans CJK KR"/>
          <w:b/>
          <w:bCs/>
          <w:color w:val="2E4A62"/>
          <w:sz w:val="23"/>
          <w:szCs w:val="23"/>
        </w:rPr>
        <w:t xml:space="preserve">반증 검정</w:t>
      </w:r>
    </w:p>
    <w:p>
      <w:pPr>
        <w:spacing w:after="120" w:line="300"/>
        <w:jc w:val="both"/>
      </w:pPr>
      <w:r>
        <w:rPr>
          <w:rFonts w:ascii="Noto Sans CJK KR" w:cs="Noto Sans CJK KR" w:eastAsia="Noto Sans CJK KR" w:hAnsi="Noto Sans CJK KR"/>
          <w:sz w:val="20"/>
          <w:szCs w:val="20"/>
        </w:rPr>
        <w:t xml:space="preserve">(P4) 지각된 경계 점수(S2-1~4)와 동태 지표(교란 후 회복시간, AR(1), 분산)의 개인 간 상관을 확인한다. 수렴이 약하면 설문 문항을 S2의 대리 지표로 사용하지 않는다. (P5) 전이 전 구간과 비전이 대조 구간에서 동태 지표의 추세(Kendall τ 등)를 비교한다. 차이가 없거나 안정기에도 동일하게 나타나면 조기경보 가설을 기각한다. 이 경우에도 DTTM의 국면 구조 자체는 유지될 수 있으며, “모든 임계전이에 임계감속이 선행한다”고는 주장하지 않는다.</w:t>
      </w:r>
    </w:p>
    <w:p>
      <w:pPr>
        <w:pStyle w:val="Heading1"/>
        <w:pBdr>
          <w:bottom w:val="single" w:color="2E4A62" w:sz="6" w:space="4"/>
        </w:pBdr>
        <w:spacing w:after="160" w:before="360"/>
      </w:pPr>
      <w:r>
        <w:rPr>
          <w:rFonts w:ascii="Noto Sans CJK KR" w:cs="Noto Sans CJK KR" w:eastAsia="Noto Sans CJK KR" w:hAnsi="Noto Sans CJK KR"/>
          <w:b/>
          <w:bCs/>
          <w:color w:val="2E4A62"/>
          <w:sz w:val="28"/>
          <w:szCs w:val="28"/>
        </w:rPr>
        <w:t xml:space="preserve">7  임계 S3 (Threshold)</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c>
          <w:tcPr>
            <w:tcW w:type="dxa" w:w="9720"/>
            <w:tcBorders>
              <w:top w:val="none" w:color="FFFFFF" w:sz="0"/>
              <w:left w:val="single" w:color="2E4A62" w:sz="18"/>
              <w:bottom w:val="none" w:color="FFFFFF" w:sz="0"/>
              <w:right w:val="none" w:color="FFFFFF" w:sz="0"/>
            </w:tcBorders>
            <w:shd w:fill="F7F9FB" w:color="auto" w:val="clear"/>
            <w:tcMar>
              <w:top w:type="dxa" w:w="120"/>
              <w:left w:type="dxa" w:w="180"/>
              <w:bottom w:type="dxa" w:w="120"/>
              <w:right w:type="dxa" w:w="180"/>
            </w:tcMar>
          </w:tcPr>
          <w:p>
            <w:pPr>
              <w:spacing w:line="300"/>
            </w:pPr>
            <w:r>
              <w:rPr>
                <w:rFonts w:ascii="Noto Sans CJK KR" w:cs="Noto Sans CJK KR" w:eastAsia="Noto Sans CJK KR" w:hAnsi="Noto Sans CJK KR"/>
                <w:b/>
                <w:bCs/>
                <w:color w:val="2E4A62"/>
                <w:sz w:val="20"/>
                <w:szCs w:val="20"/>
              </w:rPr>
              <w:t xml:space="preserve">개념 정의  </w:t>
            </w:r>
            <w:r>
              <w:rPr>
                <w:rFonts w:ascii="Noto Sans CJK KR" w:cs="Noto Sans CJK KR" w:eastAsia="Noto Sans CJK KR" w:hAnsi="Noto Sans CJK KR"/>
                <w:sz w:val="20"/>
                <w:szCs w:val="20"/>
              </w:rPr>
              <w:t xml:space="preserve">현 체제의 유지가 흔들리고 비용 평가·실행 가능한 대안·실행 준비가 결합하여 전이 가능성이 급격히 달라질 수 있는 문턱 구간이다. 높은 변화 의도나 고정된 설문 절단점과 동일하지 않다.</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4"/>
        <w:gridCol w:w="7776"/>
      </w:tblGrid>
      <w:tr>
        <w:trPr>
          <w:tblHeader/>
        </w:trPr>
        <w:tc>
          <w:tcPr>
            <w:tcW w:type="dxa" w:w="194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명세 항목</w:t>
            </w:r>
          </w:p>
        </w:tc>
        <w:tc>
          <w:tcPr>
            <w:tcW w:type="dxa" w:w="777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판정 내용</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필수 속성</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① 유지비용에 대한 구체적 평가, ② 실행 가능한 대안과 실행 조건의 확인, ③ 실행 준비의 개시. 세 요소를 서로 독립적으로 측정한다.</w:t>
            </w:r>
          </w:p>
        </w:tc>
      </w:tr>
      <w:tr>
        <w:tc>
          <w:tcPr>
            <w:tcW w:type="dxa" w:w="19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전향적 판정</w:t>
            </w:r>
          </w:p>
        </w:tc>
        <w:tc>
          <w:tcPr>
            <w:tcW w:type="dxa" w:w="77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①②③이 모두 확인될 때 S3 후보이다. 제1판 초안의 “행동 확률의 민감성” 기준은 사후에만 확인 가능하므로 개인 판정 기준에서 제외한다.</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후향적 검증</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계기(승인, 교육, 작은 사건)와 준비도의 상호작용이 전이 위험을 가파르게 높이는지 모형 수준에서 검정한다(P8). 민감성은 개인 분류 기준이 아니라 이론 가설이다.</w:t>
            </w:r>
          </w:p>
        </w:tc>
      </w:tr>
      <w:tr>
        <w:tc>
          <w:tcPr>
            <w:tcW w:type="dxa" w:w="19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이탈과 경로</w:t>
            </w:r>
          </w:p>
        </w:tc>
        <w:tc>
          <w:tcPr>
            <w:tcW w:type="dxa" w:w="77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사전 지정한 핵심 영역(행동·역할·관계·절차)에서 실제 변화가 기록되면 E1이다. 대안이나 승인 조건이 닫히면 S2 또는 S1로 후퇴한다.</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제외</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계획만 있고 실행 가능한 경로가 없으면 S3이 아니다. 이미 실행했으면 E1이다. 외부 명령으로 즉시 이동한 경우는 강제 전이로 부호화한다.</w:t>
            </w:r>
          </w:p>
        </w:tc>
      </w:tr>
      <w:tr>
        <w:tc>
          <w:tcPr>
            <w:tcW w:type="dxa" w:w="19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적용 사례</w:t>
            </w:r>
          </w:p>
        </w:tc>
        <w:tc>
          <w:tcPr>
            <w:tcW w:type="dxa" w:w="77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기존 절차를 고수하면 재작업과 지연이 커진다고 판단하고, 대체 절차와 승인자를 정한 상태에서 다음 주 회의의 승인을 기다리고 있다.</w:t>
            </w:r>
          </w:p>
        </w:tc>
      </w:tr>
    </w:tbl>
    <w:p>
      <w:pPr>
        <w:pStyle w:val="Heading2"/>
        <w:spacing w:after="100" w:before="240"/>
      </w:pPr>
      <w:r>
        <w:rPr>
          <w:rFonts w:ascii="Noto Sans CJK KR" w:cs="Noto Sans CJK KR" w:eastAsia="Noto Sans CJK KR" w:hAnsi="Noto Sans CJK KR"/>
          <w:b/>
          <w:bCs/>
          <w:color w:val="2E4A62"/>
          <w:sz w:val="23"/>
          <w:szCs w:val="23"/>
        </w:rPr>
        <w:t xml:space="preserve">관찰 지표와 자료원</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8"/>
        <w:gridCol w:w="5346"/>
        <w:gridCol w:w="2916"/>
      </w:tblGrid>
      <w:tr>
        <w:trPr>
          <w:tblHeader/>
        </w:trPr>
        <w:tc>
          <w:tcPr>
            <w:tcW w:type="dxa" w:w="1458"/>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영역</w:t>
            </w:r>
          </w:p>
        </w:tc>
        <w:tc>
          <w:tcPr>
            <w:tcW w:type="dxa" w:w="534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후보 지표</w:t>
            </w:r>
          </w:p>
        </w:tc>
        <w:tc>
          <w:tcPr>
            <w:tcW w:type="dxa" w:w="291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자료원</w:t>
            </w:r>
          </w:p>
        </w:tc>
      </w:tr>
      <w:tr>
        <w:tc>
          <w:tcPr>
            <w:tcW w:type="dxa" w:w="145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인지</w:t>
            </w:r>
          </w:p>
        </w:tc>
        <w:tc>
          <w:tcPr>
            <w:tcW w:type="dxa" w:w="534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현 방식의 지속 가능성 재평가, 대안 선택</w:t>
            </w:r>
          </w:p>
        </w:tc>
        <w:tc>
          <w:tcPr>
            <w:tcW w:type="dxa" w:w="29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패널, 면접</w:t>
            </w:r>
          </w:p>
        </w:tc>
      </w:tr>
      <w:tr>
        <w:tc>
          <w:tcPr>
            <w:tcW w:type="dxa" w:w="145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정서</w:t>
            </w:r>
          </w:p>
        </w:tc>
        <w:tc>
          <w:tcPr>
            <w:tcW w:type="dxa" w:w="534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긴장 고조 또는 결심 후 안정감(방향은 고정하지 않음)</w:t>
            </w:r>
          </w:p>
        </w:tc>
        <w:tc>
          <w:tcPr>
            <w:tcW w:type="dxa" w:w="291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패널, 일지</w:t>
            </w:r>
          </w:p>
        </w:tc>
      </w:tr>
      <w:tr>
        <w:tc>
          <w:tcPr>
            <w:tcW w:type="dxa" w:w="145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행동</w:t>
            </w:r>
          </w:p>
        </w:tc>
        <w:tc>
          <w:tcPr>
            <w:tcW w:type="dxa" w:w="534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일정 확정, 자원 확보, 실행 준비</w:t>
            </w:r>
          </w:p>
        </w:tc>
        <w:tc>
          <w:tcPr>
            <w:tcW w:type="dxa" w:w="29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패널, 업무 기록</w:t>
            </w:r>
          </w:p>
        </w:tc>
      </w:tr>
      <w:tr>
        <w:tc>
          <w:tcPr>
            <w:tcW w:type="dxa" w:w="145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관계·구조</w:t>
            </w:r>
          </w:p>
        </w:tc>
        <w:tc>
          <w:tcPr>
            <w:tcW w:type="dxa" w:w="534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결정권자 승인 절차, 대안 가용성, 핵심 지원자</w:t>
            </w:r>
          </w:p>
        </w:tc>
        <w:tc>
          <w:tcPr>
            <w:tcW w:type="dxa" w:w="291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문서, 면접</w:t>
            </w:r>
          </w:p>
        </w:tc>
      </w:tr>
      <w:tr>
        <w:tc>
          <w:tcPr>
            <w:tcW w:type="dxa" w:w="145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비용 변수</w:t>
            </w:r>
          </w:p>
        </w:tc>
        <w:tc>
          <w:tcPr>
            <w:tcW w:type="dxa" w:w="534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Cₘ, Cₜ, α의 독립 측정(11장)</w:t>
            </w:r>
          </w:p>
        </w:tc>
        <w:tc>
          <w:tcPr>
            <w:tcW w:type="dxa" w:w="29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비용 척도, 업무 기록</w:t>
            </w:r>
          </w:p>
        </w:tc>
      </w:tr>
    </w:tbl>
    <w:p>
      <w:pPr>
        <w:pStyle w:val="Heading2"/>
        <w:spacing w:after="100" w:before="240"/>
      </w:pPr>
      <w:r>
        <w:rPr>
          <w:rFonts w:ascii="Noto Sans CJK KR" w:cs="Noto Sans CJK KR" w:eastAsia="Noto Sans CJK KR" w:hAnsi="Noto Sans CJK KR"/>
          <w:b/>
          <w:bCs/>
          <w:color w:val="2E4A62"/>
          <w:sz w:val="23"/>
          <w:szCs w:val="23"/>
        </w:rPr>
        <w:t xml:space="preserve">수정 후보문항</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
        <w:gridCol w:w="874"/>
        <w:gridCol w:w="7874"/>
      </w:tblGrid>
      <w:tr>
        <w:trPr>
          <w:tblHeader/>
        </w:trPr>
        <w:tc>
          <w:tcPr>
            <w:tcW w:type="dxa" w:w="972"/>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번호</w:t>
            </w:r>
          </w:p>
        </w:tc>
        <w:tc>
          <w:tcPr>
            <w:tcW w:type="dxa" w:w="87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유형</w:t>
            </w:r>
          </w:p>
        </w:tc>
        <w:tc>
          <w:tcPr>
            <w:tcW w:type="dxa" w:w="787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문항</w:t>
            </w:r>
          </w:p>
        </w:tc>
      </w:tr>
      <w:tr>
        <w:tc>
          <w:tcPr>
            <w:tcW w:type="dxa" w:w="97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S3-1</w:t>
            </w:r>
          </w:p>
        </w:tc>
        <w:tc>
          <w:tcPr>
            <w:tcW w:type="dxa" w:w="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누</w:t>
            </w:r>
          </w:p>
        </w:tc>
        <w:tc>
          <w:tcPr>
            <w:tcW w:type="dxa" w:w="7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[변화 대상]과 관련하여, 현재 방식을 유지할 때 드는 부담(시간·재작업·갈등)을 구체적으로 따져 보았다.</w:t>
            </w:r>
          </w:p>
        </w:tc>
      </w:tr>
      <w:tr>
        <w:tc>
          <w:tcPr>
            <w:tcW w:type="dxa" w:w="97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S3-2</w:t>
            </w:r>
          </w:p>
        </w:tc>
        <w:tc>
          <w:tcPr>
            <w:tcW w:type="dxa" w:w="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특</w:t>
            </w:r>
          </w:p>
        </w:tc>
        <w:tc>
          <w:tcPr>
            <w:tcW w:type="dxa" w:w="7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실제로 바꿀 수 있는 대안과 그 실행 조건(승인자·일정·자원)을 확인했다.</w:t>
            </w:r>
          </w:p>
        </w:tc>
      </w:tr>
      <w:tr>
        <w:tc>
          <w:tcPr>
            <w:tcW w:type="dxa" w:w="97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S3-3</w:t>
            </w:r>
          </w:p>
        </w:tc>
        <w:tc>
          <w:tcPr>
            <w:tcW w:type="dxa" w:w="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특</w:t>
            </w:r>
          </w:p>
        </w:tc>
        <w:tc>
          <w:tcPr>
            <w:tcW w:type="dxa" w:w="7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변경에 필요한 준비(교육 신청, 자료 준비, 승인 요청 등) 중 일부를 이미 시작했다.</w:t>
            </w:r>
          </w:p>
        </w:tc>
      </w:tr>
      <w:tr>
        <w:tc>
          <w:tcPr>
            <w:tcW w:type="dxa" w:w="97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S3-4</w:t>
            </w:r>
          </w:p>
        </w:tc>
        <w:tc>
          <w:tcPr>
            <w:tcW w:type="dxa" w:w="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특</w:t>
            </w:r>
          </w:p>
        </w:tc>
        <w:tc>
          <w:tcPr>
            <w:tcW w:type="dxa" w:w="7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변경 여부를 결정할 구체적인 계기(회의·승인·기한)가 가까운 시일 안에 예정되어 있다.</w:t>
            </w:r>
          </w:p>
        </w:tc>
      </w:tr>
    </w:tbl>
    <w:p>
      <w:pPr>
        <w:pStyle w:val="Heading2"/>
        <w:spacing w:after="100" w:before="240"/>
      </w:pPr>
      <w:r>
        <w:rPr>
          <w:rFonts w:ascii="Noto Sans CJK KR" w:cs="Noto Sans CJK KR" w:eastAsia="Noto Sans CJK KR" w:hAnsi="Noto Sans CJK KR"/>
          <w:b/>
          <w:bCs/>
          <w:color w:val="2E4A62"/>
          <w:sz w:val="23"/>
          <w:szCs w:val="23"/>
        </w:rPr>
        <w:t xml:space="preserve">반증 검정</w:t>
      </w:r>
    </w:p>
    <w:p>
      <w:pPr>
        <w:spacing w:after="120" w:line="300"/>
        <w:jc w:val="both"/>
      </w:pPr>
      <w:r>
        <w:rPr>
          <w:rFonts w:ascii="Noto Sans CJK KR" w:cs="Noto Sans CJK KR" w:eastAsia="Noto Sans CJK KR" w:hAnsi="Noto Sans CJK KR"/>
          <w:sz w:val="20"/>
          <w:szCs w:val="20"/>
        </w:rPr>
        <w:t xml:space="preserve">(P6, P7, P8) 비용식의 함수 형태(비율형 대 가산형), 비선형성(cusp 대 선형·로지스틱), 계기 민감성(계기×준비도 상호작용)을 각각 검정한다. 세 요소의 조합이 선형 모형보다 전이 시점과 위험을 더 잘 설명하지 못하면 임계 메커니즘을 수정한다. 임계값 자체가 자료에서 식별되지 않을 가능성도 결과로 보고한다.</w:t>
      </w:r>
    </w:p>
    <w:p>
      <w:pPr>
        <w:pStyle w:val="Heading1"/>
        <w:pBdr>
          <w:bottom w:val="single" w:color="2E4A62" w:sz="6" w:space="4"/>
        </w:pBdr>
        <w:spacing w:after="160" w:before="360"/>
      </w:pPr>
      <w:r>
        <w:rPr>
          <w:rFonts w:ascii="Noto Sans CJK KR" w:cs="Noto Sans CJK KR" w:eastAsia="Noto Sans CJK KR" w:hAnsi="Noto Sans CJK KR"/>
          <w:b/>
          <w:bCs/>
          <w:color w:val="2E4A62"/>
          <w:sz w:val="28"/>
          <w:szCs w:val="28"/>
        </w:rPr>
        <w:t xml:space="preserve">8  전이 E1 (Transition)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c>
          <w:tcPr>
            <w:tcW w:type="dxa" w:w="9720"/>
            <w:tcBorders>
              <w:top w:val="none" w:color="FFFFFF" w:sz="0"/>
              <w:left w:val="single" w:color="2E4A62" w:sz="18"/>
              <w:bottom w:val="none" w:color="FFFFFF" w:sz="0"/>
              <w:right w:val="none" w:color="FFFFFF" w:sz="0"/>
            </w:tcBorders>
            <w:shd w:fill="F7F9FB" w:color="auto" w:val="clear"/>
            <w:tcMar>
              <w:top w:type="dxa" w:w="120"/>
              <w:left w:type="dxa" w:w="180"/>
              <w:bottom w:type="dxa" w:w="120"/>
              <w:right w:type="dxa" w:w="180"/>
            </w:tcMar>
          </w:tcPr>
          <w:p>
            <w:pPr>
              <w:spacing w:line="300"/>
            </w:pPr>
            <w:r>
              <w:rPr>
                <w:rFonts w:ascii="Noto Sans CJK KR" w:cs="Noto Sans CJK KR" w:eastAsia="Noto Sans CJK KR" w:hAnsi="Noto Sans CJK KR"/>
                <w:b/>
                <w:bCs/>
                <w:color w:val="2E4A62"/>
                <w:sz w:val="20"/>
                <w:szCs w:val="20"/>
              </w:rPr>
              <w:t xml:space="preserve">개념 정의  </w:t>
            </w:r>
            <w:r>
              <w:rPr>
                <w:rFonts w:ascii="Noto Sans CJK KR" w:cs="Noto Sans CJK KR" w:eastAsia="Noto Sans CJK KR" w:hAnsi="Noto Sans CJK KR"/>
                <w:sz w:val="20"/>
                <w:szCs w:val="20"/>
              </w:rPr>
              <w:t xml:space="preserve">기존 체제(R₀)의 우세한 행동·역할·관계·절차 패턴에서 새로운 체제(R₁)로 질적으로 이동하는 관찰 가능한 사건 또는 짧은 구간이다. 2층 구조에서 E1은 국면이 아니라 체제 간 전환이다.</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4"/>
        <w:gridCol w:w="7776"/>
      </w:tblGrid>
      <w:tr>
        <w:trPr>
          <w:tblHeader/>
        </w:trPr>
        <w:tc>
          <w:tcPr>
            <w:tcW w:type="dxa" w:w="194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명세 항목</w:t>
            </w:r>
          </w:p>
        </w:tc>
        <w:tc>
          <w:tcPr>
            <w:tcW w:type="dxa" w:w="777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판정 내용</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필수 속성</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사전 지정한 핵심 영역의 변화와 독립적인 행동·기록 근거가 함께 있어야 한다. 최초 실행일, 변화 영역, 방향, 자발/강제 여부를 분리 기록한다.</w:t>
            </w:r>
          </w:p>
        </w:tc>
      </w:tr>
      <w:tr>
        <w:tc>
          <w:tcPr>
            <w:tcW w:type="dxa" w:w="19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전향적 판정</w:t>
            </w:r>
          </w:p>
        </w:tc>
        <w:tc>
          <w:tcPr>
            <w:tcW w:type="dxa" w:w="77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기록 근거 1건 이상 + 자기보고 또는 제3자 확인 1건 이상. 두 평정자가 독립적으로 전이일을 부호화한다.</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후향적 검증</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사후 기록 대조에서 실행이 확인되지 않거나, 점수 변화가 계절성·측정 도구 변경으로 설명되면 E1 판정을 철회한다.</w:t>
            </w:r>
          </w:p>
        </w:tc>
      </w:tr>
      <w:tr>
        <w:tc>
          <w:tcPr>
            <w:tcW w:type="dxa" w:w="19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이탈과 경로</w:t>
            </w:r>
          </w:p>
        </w:tc>
        <w:tc>
          <w:tcPr>
            <w:tcW w:type="dxa" w:w="77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E1 직후는 N(전이 직후 미안정)이다. 새 방식의 반복·정렬·복원력이 나타나면 S4 후보이고, 실패하면 R₀로 회귀한다.</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제외</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변화 의향의 표명, 한 번의 시도 후 즉시 중단, 일시적 순응, 설문 점수 차이만 있는 경우는 E1이 아니다. 급격하지 않은 점진적 이동은 “점진 경로”로 따로 부호화한다.</w:t>
            </w:r>
          </w:p>
        </w:tc>
      </w:tr>
      <w:tr>
        <w:tc>
          <w:tcPr>
            <w:tcW w:type="dxa" w:w="19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적용 사례</w:t>
            </w:r>
          </w:p>
        </w:tc>
        <w:tc>
          <w:tcPr>
            <w:tcW w:type="dxa" w:w="77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실무자가 승인받은 새 검수 절차를 실제 지급 건에 처음 적용하고 이전 결재 경로를 중단한다.</w:t>
            </w:r>
          </w:p>
        </w:tc>
      </w:tr>
    </w:tbl>
    <w:p>
      <w:pPr>
        <w:pStyle w:val="Heading2"/>
        <w:spacing w:after="100" w:before="240"/>
      </w:pPr>
      <w:r>
        <w:rPr>
          <w:rFonts w:ascii="Noto Sans CJK KR" w:cs="Noto Sans CJK KR" w:eastAsia="Noto Sans CJK KR" w:hAnsi="Noto Sans CJK KR"/>
          <w:b/>
          <w:bCs/>
          <w:color w:val="2E4A62"/>
          <w:sz w:val="23"/>
          <w:szCs w:val="23"/>
        </w:rPr>
        <w:t xml:space="preserve">관찰 지표와 자료원</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8"/>
        <w:gridCol w:w="5346"/>
        <w:gridCol w:w="2916"/>
      </w:tblGrid>
      <w:tr>
        <w:trPr>
          <w:tblHeader/>
        </w:trPr>
        <w:tc>
          <w:tcPr>
            <w:tcW w:type="dxa" w:w="1458"/>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영역</w:t>
            </w:r>
          </w:p>
        </w:tc>
        <w:tc>
          <w:tcPr>
            <w:tcW w:type="dxa" w:w="534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후보 지표</w:t>
            </w:r>
          </w:p>
        </w:tc>
        <w:tc>
          <w:tcPr>
            <w:tcW w:type="dxa" w:w="291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자료원</w:t>
            </w:r>
          </w:p>
        </w:tc>
      </w:tr>
      <w:tr>
        <w:tc>
          <w:tcPr>
            <w:tcW w:type="dxa" w:w="145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행동</w:t>
            </w:r>
          </w:p>
        </w:tc>
        <w:tc>
          <w:tcPr>
            <w:tcW w:type="dxa" w:w="534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새 방식 첫 실행, 기존 행동 중단</w:t>
            </w:r>
          </w:p>
        </w:tc>
        <w:tc>
          <w:tcPr>
            <w:tcW w:type="dxa" w:w="29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업무 기록, 시스템 로그</w:t>
            </w:r>
          </w:p>
        </w:tc>
      </w:tr>
      <w:tr>
        <w:tc>
          <w:tcPr>
            <w:tcW w:type="dxa" w:w="145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관계·구조</w:t>
            </w:r>
          </w:p>
        </w:tc>
        <w:tc>
          <w:tcPr>
            <w:tcW w:type="dxa" w:w="534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권한·협업 순서·정보 흐름·자원 배분의 변경</w:t>
            </w:r>
          </w:p>
        </w:tc>
        <w:tc>
          <w:tcPr>
            <w:tcW w:type="dxa" w:w="291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결재 문서, 조직도, 공문</w:t>
            </w:r>
          </w:p>
        </w:tc>
      </w:tr>
      <w:tr>
        <w:tc>
          <w:tcPr>
            <w:tcW w:type="dxa" w:w="145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인지·정서</w:t>
            </w:r>
          </w:p>
        </w:tc>
        <w:tc>
          <w:tcPr>
            <w:tcW w:type="dxa" w:w="534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결정 확정, 안도 또는 불안(보조 증거, 필수 아님)</w:t>
            </w:r>
          </w:p>
        </w:tc>
        <w:tc>
          <w:tcPr>
            <w:tcW w:type="dxa" w:w="29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패널, 면접</w:t>
            </w:r>
          </w:p>
        </w:tc>
      </w:tr>
      <w:tr>
        <w:tc>
          <w:tcPr>
            <w:tcW w:type="dxa" w:w="145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부호화 항목</w:t>
            </w:r>
          </w:p>
        </w:tc>
        <w:tc>
          <w:tcPr>
            <w:tcW w:type="dxa" w:w="534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전이일, 영역, 방향, 자발/강제, 확인 기록 유형, 평정자 일치</w:t>
            </w:r>
          </w:p>
        </w:tc>
        <w:tc>
          <w:tcPr>
            <w:tcW w:type="dxa" w:w="291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판정 기록지</w:t>
            </w:r>
          </w:p>
        </w:tc>
      </w:tr>
    </w:tbl>
    <w:p>
      <w:pPr>
        <w:pStyle w:val="Heading2"/>
        <w:spacing w:after="100" w:before="240"/>
      </w:pPr>
      <w:r>
        <w:rPr>
          <w:rFonts w:ascii="Noto Sans CJK KR" w:cs="Noto Sans CJK KR" w:eastAsia="Noto Sans CJK KR" w:hAnsi="Noto Sans CJK KR"/>
          <w:b/>
          <w:bCs/>
          <w:color w:val="2E4A62"/>
          <w:sz w:val="23"/>
          <w:szCs w:val="23"/>
        </w:rPr>
        <w:t xml:space="preserve">수정 후보문항</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
        <w:gridCol w:w="874"/>
        <w:gridCol w:w="7874"/>
      </w:tblGrid>
      <w:tr>
        <w:trPr>
          <w:tblHeader/>
        </w:trPr>
        <w:tc>
          <w:tcPr>
            <w:tcW w:type="dxa" w:w="972"/>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번호</w:t>
            </w:r>
          </w:p>
        </w:tc>
        <w:tc>
          <w:tcPr>
            <w:tcW w:type="dxa" w:w="87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유형</w:t>
            </w:r>
          </w:p>
        </w:tc>
        <w:tc>
          <w:tcPr>
            <w:tcW w:type="dxa" w:w="787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문항</w:t>
            </w:r>
          </w:p>
        </w:tc>
      </w:tr>
      <w:tr>
        <w:tc>
          <w:tcPr>
            <w:tcW w:type="dxa" w:w="97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E1-1</w:t>
            </w:r>
          </w:p>
        </w:tc>
        <w:tc>
          <w:tcPr>
            <w:tcW w:type="dxa" w:w="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사</w:t>
            </w:r>
          </w:p>
        </w:tc>
        <w:tc>
          <w:tcPr>
            <w:tcW w:type="dxa" w:w="7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지난 조사 이후 [변화 대상]과 관련하여 기존과 다른 방식을 실제 업무에 처음 적용했다. (예/아니오, 날짜)</w:t>
            </w:r>
          </w:p>
        </w:tc>
      </w:tr>
      <w:tr>
        <w:tc>
          <w:tcPr>
            <w:tcW w:type="dxa" w:w="97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E1-2</w:t>
            </w:r>
          </w:p>
        </w:tc>
        <w:tc>
          <w:tcPr>
            <w:tcW w:type="dxa" w:w="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사</w:t>
            </w:r>
          </w:p>
        </w:tc>
        <w:tc>
          <w:tcPr>
            <w:tcW w:type="dxa" w:w="7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지난 조사 이후 기존 절차나 행동을 중단했다. (예/아니오, 날짜)</w:t>
            </w:r>
          </w:p>
        </w:tc>
      </w:tr>
      <w:tr>
        <w:tc>
          <w:tcPr>
            <w:tcW w:type="dxa" w:w="97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E1-3</w:t>
            </w:r>
          </w:p>
        </w:tc>
        <w:tc>
          <w:tcPr>
            <w:tcW w:type="dxa" w:w="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사</w:t>
            </w:r>
          </w:p>
        </w:tc>
        <w:tc>
          <w:tcPr>
            <w:tcW w:type="dxa" w:w="7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지난 조사 이후 나의 권한·역할·협업 순서가 바뀌었다. (예/아니오, 날짜, 자발/지시)</w:t>
            </w:r>
          </w:p>
        </w:tc>
      </w:tr>
      <w:tr>
        <w:tc>
          <w:tcPr>
            <w:tcW w:type="dxa" w:w="97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E1-4</w:t>
            </w:r>
          </w:p>
        </w:tc>
        <w:tc>
          <w:tcPr>
            <w:tcW w:type="dxa" w:w="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사</w:t>
            </w:r>
          </w:p>
        </w:tc>
        <w:tc>
          <w:tcPr>
            <w:tcW w:type="dxa" w:w="7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위 변화를 확인할 수 있는 기록이 있다. (처리 문서·결재 경로·시스템 로그 등 유형 기재)</w:t>
            </w:r>
          </w:p>
        </w:tc>
      </w:tr>
    </w:tbl>
    <w:p>
      <w:pPr>
        <w:pStyle w:val="Heading2"/>
        <w:spacing w:after="100" w:before="240"/>
      </w:pPr>
      <w:r>
        <w:rPr>
          <w:rFonts w:ascii="Noto Sans CJK KR" w:cs="Noto Sans CJK KR" w:eastAsia="Noto Sans CJK KR" w:hAnsi="Noto Sans CJK KR"/>
          <w:b/>
          <w:bCs/>
          <w:color w:val="2E4A62"/>
          <w:sz w:val="23"/>
          <w:szCs w:val="23"/>
        </w:rPr>
        <w:t xml:space="preserve">반증 검정</w:t>
      </w:r>
    </w:p>
    <w:p>
      <w:pPr>
        <w:spacing w:after="120" w:line="300"/>
        <w:jc w:val="both"/>
      </w:pPr>
      <w:r>
        <w:rPr>
          <w:rFonts w:ascii="Noto Sans CJK KR" w:cs="Noto Sans CJK KR" w:eastAsia="Noto Sans CJK KR" w:hAnsi="Noto Sans CJK KR"/>
          <w:sz w:val="20"/>
          <w:szCs w:val="20"/>
        </w:rPr>
        <w:t xml:space="preserve">(P11) E1 판정의 평정자 간 일치도(κ)와 전이일의 일치 범위(예: ±1주)를 보고한다. 일치도가 낮으면 핵심 영역의 정의와 기록 유형을 수정한다. 자기보고 전이와 기록 전이가 체계적으로 어긋나면 자기보고 문항은 보조 지표로만 사용한다.</w:t>
      </w:r>
    </w:p>
    <w:p>
      <w:pPr>
        <w:pStyle w:val="Heading1"/>
        <w:pBdr>
          <w:bottom w:val="single" w:color="2E4A62" w:sz="6" w:space="4"/>
        </w:pBdr>
        <w:spacing w:after="160" w:before="360"/>
      </w:pPr>
      <w:r>
        <w:rPr>
          <w:rFonts w:ascii="Noto Sans CJK KR" w:cs="Noto Sans CJK KR" w:eastAsia="Noto Sans CJK KR" w:hAnsi="Noto Sans CJK KR"/>
          <w:b/>
          <w:bCs/>
          <w:color w:val="2E4A62"/>
          <w:sz w:val="28"/>
          <w:szCs w:val="28"/>
        </w:rPr>
        <w:t xml:space="preserve">9  재구조화 S4 (Reconfiguration)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0"/>
      </w:tblGrid>
      <w:tr>
        <w:tc>
          <w:tcPr>
            <w:tcW w:type="dxa" w:w="9720"/>
            <w:tcBorders>
              <w:top w:val="none" w:color="FFFFFF" w:sz="0"/>
              <w:left w:val="single" w:color="2E4A62" w:sz="18"/>
              <w:bottom w:val="none" w:color="FFFFFF" w:sz="0"/>
              <w:right w:val="none" w:color="FFFFFF" w:sz="0"/>
            </w:tcBorders>
            <w:shd w:fill="F7F9FB" w:color="auto" w:val="clear"/>
            <w:tcMar>
              <w:top w:type="dxa" w:w="120"/>
              <w:left w:type="dxa" w:w="180"/>
              <w:bottom w:type="dxa" w:w="120"/>
              <w:right w:type="dxa" w:w="180"/>
            </w:tcMar>
          </w:tcPr>
          <w:p>
            <w:pPr>
              <w:spacing w:line="300"/>
            </w:pPr>
            <w:r>
              <w:rPr>
                <w:rFonts w:ascii="Noto Sans CJK KR" w:cs="Noto Sans CJK KR" w:eastAsia="Noto Sans CJK KR" w:hAnsi="Noto Sans CJK KR"/>
                <w:b/>
                <w:bCs/>
                <w:color w:val="2E4A62"/>
                <w:sz w:val="20"/>
                <w:szCs w:val="20"/>
              </w:rPr>
              <w:t xml:space="preserve">개념 정의  </w:t>
            </w:r>
            <w:r>
              <w:rPr>
                <w:rFonts w:ascii="Noto Sans CJK KR" w:cs="Noto Sans CJK KR" w:eastAsia="Noto Sans CJK KR" w:hAnsi="Noto Sans CJK KR"/>
                <w:sz w:val="20"/>
                <w:szCs w:val="20"/>
              </w:rPr>
              <w:t xml:space="preserve">전이 이후 새로운 행동·역할·관계·자원 배열이 반복되어 일상화되고, 작은 교란 뒤에도 새 방식으로 복귀할 수 있게 된 안정화 국면이다. 신규 체제(R₁)의 복원력이 회복된 상태이며, 긍정적 성과를 뜻하지 않는다.</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4"/>
        <w:gridCol w:w="7776"/>
      </w:tblGrid>
      <w:tr>
        <w:trPr>
          <w:tblHeader/>
        </w:trPr>
        <w:tc>
          <w:tcPr>
            <w:tcW w:type="dxa" w:w="194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명세 항목</w:t>
            </w:r>
          </w:p>
        </w:tc>
        <w:tc>
          <w:tcPr>
            <w:tcW w:type="dxa" w:w="777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판정 내용</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필수 속성</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① 반복성(관찰창 안에서 해당 업무 대부분에 새 방식 사용), ② 정렬(역할·자원·동료 기대의 일치), ③ 복원력(교란 후 새 방식으로 복귀). 세 차원을 별개로 평가한다.</w:t>
            </w:r>
          </w:p>
        </w:tc>
      </w:tr>
      <w:tr>
        <w:tc>
          <w:tcPr>
            <w:tcW w:type="dxa" w:w="19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전향적 판정</w:t>
            </w:r>
          </w:p>
        </w:tc>
        <w:tc>
          <w:tcPr>
            <w:tcW w:type="dxa" w:w="77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관찰창 안에서 ①과 ②가 확인되면 “S4 후보”로 표시한다.</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후향적 검증</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교란 사건 1회 이상 이후 새 방식으로 복귀한 증거(③)가 확인되어야 S4를 확정한다. 따라서 S4 확정은 항상 관찰창 종료 후에만 가능하다.</w:t>
            </w:r>
          </w:p>
        </w:tc>
      </w:tr>
      <w:tr>
        <w:tc>
          <w:tcPr>
            <w:tcW w:type="dxa" w:w="19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이탈과 경로</w:t>
            </w:r>
          </w:p>
        </w:tc>
        <w:tc>
          <w:tcPr>
            <w:tcW w:type="dxa" w:w="77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새로운 불일치가 누적되면 R₁을 기준으로 한 새 S0이 시작된다. 새 방식이 붕괴하면 R₀ 또는 다른 체제로 회귀한다.</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제외</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일회성 성과 개선, 전이 직후의 높은 열의, 외부 감시로만 유지되는 순응은 S4가 아니다. 새 방식의 우수성은 안정화와 별도로 평가한다.</w:t>
            </w:r>
          </w:p>
        </w:tc>
      </w:tr>
      <w:tr>
        <w:tc>
          <w:tcPr>
            <w:tcW w:type="dxa" w:w="19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적용 사례</w:t>
            </w:r>
          </w:p>
        </w:tc>
        <w:tc>
          <w:tcPr>
            <w:tcW w:type="dxa" w:w="77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새 검수 절차가 여러 지급 건에 반복 적용되고 확인 순서와 권한이 정리되며, 오류가 생겨도 예전 절차 대신 새 절차를 보완해 사용한다.</w:t>
            </w:r>
          </w:p>
        </w:tc>
      </w:tr>
    </w:tbl>
    <w:p>
      <w:pPr>
        <w:pStyle w:val="Heading2"/>
        <w:spacing w:after="100" w:before="240"/>
      </w:pPr>
      <w:r>
        <w:rPr>
          <w:rFonts w:ascii="Noto Sans CJK KR" w:cs="Noto Sans CJK KR" w:eastAsia="Noto Sans CJK KR" w:hAnsi="Noto Sans CJK KR"/>
          <w:b/>
          <w:bCs/>
          <w:color w:val="2E4A62"/>
          <w:sz w:val="23"/>
          <w:szCs w:val="23"/>
        </w:rPr>
        <w:t xml:space="preserve">관찰 지표와 자료원</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8"/>
        <w:gridCol w:w="5346"/>
        <w:gridCol w:w="2916"/>
      </w:tblGrid>
      <w:tr>
        <w:trPr>
          <w:tblHeader/>
        </w:trPr>
        <w:tc>
          <w:tcPr>
            <w:tcW w:type="dxa" w:w="1458"/>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영역</w:t>
            </w:r>
          </w:p>
        </w:tc>
        <w:tc>
          <w:tcPr>
            <w:tcW w:type="dxa" w:w="534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후보 지표</w:t>
            </w:r>
          </w:p>
        </w:tc>
        <w:tc>
          <w:tcPr>
            <w:tcW w:type="dxa" w:w="291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자료원</w:t>
            </w:r>
          </w:p>
        </w:tc>
      </w:tr>
      <w:tr>
        <w:tc>
          <w:tcPr>
            <w:tcW w:type="dxa" w:w="145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행동</w:t>
            </w:r>
          </w:p>
        </w:tc>
        <w:tc>
          <w:tcPr>
            <w:tcW w:type="dxa" w:w="534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새 방식의 반복 수행 비율, 자동화</w:t>
            </w:r>
          </w:p>
        </w:tc>
        <w:tc>
          <w:tcPr>
            <w:tcW w:type="dxa" w:w="29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업무 기록, 패널</w:t>
            </w:r>
          </w:p>
        </w:tc>
      </w:tr>
      <w:tr>
        <w:tc>
          <w:tcPr>
            <w:tcW w:type="dxa" w:w="145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관계·구조</w:t>
            </w:r>
          </w:p>
        </w:tc>
        <w:tc>
          <w:tcPr>
            <w:tcW w:type="dxa" w:w="534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동료 기대·책임·자원·절차의 일치</w:t>
            </w:r>
          </w:p>
        </w:tc>
        <w:tc>
          <w:tcPr>
            <w:tcW w:type="dxa" w:w="291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문서, 면접, 동료 평정</w:t>
            </w:r>
          </w:p>
        </w:tc>
      </w:tr>
      <w:tr>
        <w:tc>
          <w:tcPr>
            <w:tcW w:type="dxa" w:w="145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인지</w:t>
            </w:r>
          </w:p>
        </w:tc>
        <w:tc>
          <w:tcPr>
            <w:tcW w:type="dxa" w:w="534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새 역할과 자기 설명의 연결</w:t>
            </w:r>
          </w:p>
        </w:tc>
        <w:tc>
          <w:tcPr>
            <w:tcW w:type="dxa" w:w="29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패널, 면접</w:t>
            </w:r>
          </w:p>
        </w:tc>
      </w:tr>
      <w:tr>
        <w:tc>
          <w:tcPr>
            <w:tcW w:type="dxa" w:w="145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동태</w:t>
            </w:r>
          </w:p>
        </w:tc>
        <w:tc>
          <w:tcPr>
            <w:tcW w:type="dxa" w:w="534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교란 후 새 방식 복귀, 유지확률 상승</w:t>
            </w:r>
          </w:p>
        </w:tc>
        <w:tc>
          <w:tcPr>
            <w:tcW w:type="dxa" w:w="291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사건 로그, 추적 패널</w:t>
            </w:r>
          </w:p>
        </w:tc>
      </w:tr>
    </w:tbl>
    <w:p>
      <w:pPr>
        <w:pStyle w:val="Heading2"/>
        <w:spacing w:after="100" w:before="240"/>
      </w:pPr>
      <w:r>
        <w:rPr>
          <w:rFonts w:ascii="Noto Sans CJK KR" w:cs="Noto Sans CJK KR" w:eastAsia="Noto Sans CJK KR" w:hAnsi="Noto Sans CJK KR"/>
          <w:b/>
          <w:bCs/>
          <w:color w:val="2E4A62"/>
          <w:sz w:val="23"/>
          <w:szCs w:val="23"/>
        </w:rPr>
        <w:t xml:space="preserve">수정 후보문항</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
        <w:gridCol w:w="874"/>
        <w:gridCol w:w="7874"/>
      </w:tblGrid>
      <w:tr>
        <w:trPr>
          <w:tblHeader/>
        </w:trPr>
        <w:tc>
          <w:tcPr>
            <w:tcW w:type="dxa" w:w="972"/>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번호</w:t>
            </w:r>
          </w:p>
        </w:tc>
        <w:tc>
          <w:tcPr>
            <w:tcW w:type="dxa" w:w="87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유형</w:t>
            </w:r>
          </w:p>
        </w:tc>
        <w:tc>
          <w:tcPr>
            <w:tcW w:type="dxa" w:w="787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문항</w:t>
            </w:r>
          </w:p>
        </w:tc>
      </w:tr>
      <w:tr>
        <w:tc>
          <w:tcPr>
            <w:tcW w:type="dxa" w:w="97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S4-1</w:t>
            </w:r>
          </w:p>
        </w:tc>
        <w:tc>
          <w:tcPr>
            <w:tcW w:type="dxa" w:w="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누</w:t>
            </w:r>
          </w:p>
        </w:tc>
        <w:tc>
          <w:tcPr>
            <w:tcW w:type="dxa" w:w="7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지난 [관찰창] 동안 해당 업무의 대부분을 새 방식으로 처리했다.</w:t>
            </w:r>
          </w:p>
        </w:tc>
      </w:tr>
      <w:tr>
        <w:tc>
          <w:tcPr>
            <w:tcW w:type="dxa" w:w="97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S4-2</w:t>
            </w:r>
          </w:p>
        </w:tc>
        <w:tc>
          <w:tcPr>
            <w:tcW w:type="dxa" w:w="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누</w:t>
            </w:r>
          </w:p>
        </w:tc>
        <w:tc>
          <w:tcPr>
            <w:tcW w:type="dxa" w:w="7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새 방식에 맞게 역할 분담과 필요한 자원이 정리되었다.</w:t>
            </w:r>
          </w:p>
        </w:tc>
      </w:tr>
      <w:tr>
        <w:tc>
          <w:tcPr>
            <w:tcW w:type="dxa" w:w="97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S4-3</w:t>
            </w:r>
          </w:p>
        </w:tc>
        <w:tc>
          <w:tcPr>
            <w:tcW w:type="dxa" w:w="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특</w:t>
            </w:r>
          </w:p>
        </w:tc>
        <w:tc>
          <w:tcPr>
            <w:tcW w:type="dxa" w:w="787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작은 문제가 생겼을 때 이전 방식으로 돌아가지 않고 새 방식을 보완해 사용했다.</w:t>
            </w:r>
          </w:p>
        </w:tc>
      </w:tr>
      <w:tr>
        <w:tc>
          <w:tcPr>
            <w:tcW w:type="dxa" w:w="97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S4-4</w:t>
            </w:r>
          </w:p>
        </w:tc>
        <w:tc>
          <w:tcPr>
            <w:tcW w:type="dxa" w:w="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누</w:t>
            </w:r>
          </w:p>
        </w:tc>
        <w:tc>
          <w:tcPr>
            <w:tcW w:type="dxa" w:w="787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새 방식이 나의 업무 역할 설명과 동료들의 기대에 반영되어 있다.</w:t>
            </w:r>
          </w:p>
        </w:tc>
      </w:tr>
    </w:tbl>
    <w:p>
      <w:pPr>
        <w:pStyle w:val="Heading2"/>
        <w:spacing w:after="100" w:before="240"/>
      </w:pPr>
      <w:r>
        <w:rPr>
          <w:rFonts w:ascii="Noto Sans CJK KR" w:cs="Noto Sans CJK KR" w:eastAsia="Noto Sans CJK KR" w:hAnsi="Noto Sans CJK KR"/>
          <w:b/>
          <w:bCs/>
          <w:color w:val="2E4A62"/>
          <w:sz w:val="23"/>
          <w:szCs w:val="23"/>
        </w:rPr>
        <w:t xml:space="preserve">반증 검정</w:t>
      </w:r>
    </w:p>
    <w:p>
      <w:pPr>
        <w:spacing w:after="120" w:line="300"/>
        <w:jc w:val="both"/>
      </w:pPr>
      <w:r>
        <w:rPr>
          <w:rFonts w:ascii="Noto Sans CJK KR" w:cs="Noto Sans CJK KR" w:eastAsia="Noto Sans CJK KR" w:hAnsi="Noto Sans CJK KR"/>
          <w:sz w:val="20"/>
          <w:szCs w:val="20"/>
        </w:rPr>
        <w:t xml:space="preserve">(P10) S4 지표(반복·정렬·복원력)가 이후 유지와 회귀를 예측하는지, 그리고 그 예측력이 전이 직후 열의(N 구간의 정서 지표)를 통제한 뒤에도 남는지 검정한다. 남지 않으면 S4의 고유 설명력 주장을 좁힌다.</w:t>
      </w:r>
    </w:p>
    <w:p>
      <w:pPr>
        <w:pStyle w:val="Heading1"/>
        <w:pBdr>
          <w:bottom w:val="single" w:color="2E4A62" w:sz="6" w:space="4"/>
        </w:pBdr>
        <w:spacing w:after="160" w:before="360"/>
      </w:pPr>
      <w:r>
        <w:rPr>
          <w:rFonts w:ascii="Noto Sans CJK KR" w:cs="Noto Sans CJK KR" w:eastAsia="Noto Sans CJK KR" w:hAnsi="Noto Sans CJK KR"/>
          <w:b/>
          <w:bCs/>
          <w:color w:val="2E4A62"/>
          <w:sz w:val="28"/>
          <w:szCs w:val="28"/>
        </w:rPr>
        <w:t xml:space="preserve">10  인접 국면 판별표</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3"/>
        <w:gridCol w:w="3240"/>
        <w:gridCol w:w="2962"/>
        <w:gridCol w:w="2315"/>
      </w:tblGrid>
      <w:tr>
        <w:trPr>
          <w:tblHeader/>
        </w:trPr>
        <w:tc>
          <w:tcPr>
            <w:tcW w:type="dxa" w:w="1203"/>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비교</w:t>
            </w:r>
          </w:p>
        </w:tc>
        <w:tc>
          <w:tcPr>
            <w:tcW w:type="dxa" w:w="3240"/>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핵심 질문</w:t>
            </w:r>
          </w:p>
        </w:tc>
        <w:tc>
          <w:tcPr>
            <w:tcW w:type="dxa" w:w="2962"/>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결정적 증거</w:t>
            </w:r>
          </w:p>
        </w:tc>
        <w:tc>
          <w:tcPr>
            <w:tcW w:type="dxa" w:w="2315"/>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해석</w:t>
            </w:r>
          </w:p>
        </w:tc>
      </w:tr>
      <w:tr>
        <w:tc>
          <w:tcPr>
            <w:tcW w:type="dxa" w:w="1203"/>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B / S0</w:t>
            </w:r>
          </w:p>
        </w:tc>
        <w:tc>
          <w:tcPr>
            <w:tcW w:type="dxa" w:w="3240"/>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같은 대상에 관한 불일치가 반복되는가?</w:t>
            </w:r>
          </w:p>
        </w:tc>
        <w:tc>
          <w:tcPr>
            <w:tcW w:type="dxa" w:w="296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두 시점 또는 두 자료원의 불일치 신호</w:t>
            </w:r>
          </w:p>
        </w:tc>
        <w:tc>
          <w:tcPr>
            <w:tcW w:type="dxa" w:w="2315"/>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반복되면 S0 후보</w:t>
            </w:r>
          </w:p>
        </w:tc>
      </w:tr>
      <w:tr>
        <w:tc>
          <w:tcPr>
            <w:tcW w:type="dxa" w:w="1203"/>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S0 / S1</w:t>
            </w:r>
          </w:p>
        </w:tc>
        <w:tc>
          <w:tcPr>
            <w:tcW w:type="dxa" w:w="3240"/>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양립하기 어려운 요구가 명명되고 실제 선택을 제약하는가?</w:t>
            </w:r>
          </w:p>
        </w:tc>
        <w:tc>
          <w:tcPr>
            <w:tcW w:type="dxa" w:w="296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S0-2·S0-3(특)의 거짓 전환, S1-1·S1-2 참</w:t>
            </w:r>
          </w:p>
        </w:tc>
        <w:tc>
          <w:tcPr>
            <w:tcW w:type="dxa" w:w="2315"/>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명명·제약이 있으면 S1 후보</w:t>
            </w:r>
          </w:p>
        </w:tc>
      </w:tr>
      <w:tr>
        <w:tc>
          <w:tcPr>
            <w:tcW w:type="dxa" w:w="1203"/>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S1 / S2</w:t>
            </w:r>
          </w:p>
        </w:tc>
        <w:tc>
          <w:tcPr>
            <w:tcW w:type="dxa" w:w="3240"/>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같은 교란 뒤 복귀가 기준선보다 느려졌는가?</w:t>
            </w:r>
          </w:p>
        </w:tc>
        <w:tc>
          <w:tcPr>
            <w:tcW w:type="dxa" w:w="296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S1-4(특)의 거짓 전환, 동태 지표 또는 기록</w:t>
            </w:r>
          </w:p>
        </w:tc>
        <w:tc>
          <w:tcPr>
            <w:tcW w:type="dxa" w:w="2315"/>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기능 유지면 S1, 복원력 저하면 S2 후보</w:t>
            </w:r>
          </w:p>
        </w:tc>
      </w:tr>
      <w:tr>
        <w:tc>
          <w:tcPr>
            <w:tcW w:type="dxa" w:w="1203"/>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S2 / S3</w:t>
            </w:r>
          </w:p>
        </w:tc>
        <w:tc>
          <w:tcPr>
            <w:tcW w:type="dxa" w:w="3240"/>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비용 평가·가용 대안·실행 준비가 모두 있는가?</w:t>
            </w:r>
          </w:p>
        </w:tc>
        <w:tc>
          <w:tcPr>
            <w:tcW w:type="dxa" w:w="296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S3-2·S3-3(특)</w:t>
            </w:r>
          </w:p>
        </w:tc>
        <w:tc>
          <w:tcPr>
            <w:tcW w:type="dxa" w:w="2315"/>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한계 인식만으로는 S3 아님</w:t>
            </w:r>
          </w:p>
        </w:tc>
      </w:tr>
      <w:tr>
        <w:tc>
          <w:tcPr>
            <w:tcW w:type="dxa" w:w="1203"/>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S3 / E1</w:t>
            </w:r>
          </w:p>
        </w:tc>
        <w:tc>
          <w:tcPr>
            <w:tcW w:type="dxa" w:w="3240"/>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실제 행동·역할·절차가 바뀌고 기록으로 확인되는가?</w:t>
            </w:r>
          </w:p>
        </w:tc>
        <w:tc>
          <w:tcPr>
            <w:tcW w:type="dxa" w:w="296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기록 1건 + 확인 1건</w:t>
            </w:r>
          </w:p>
        </w:tc>
        <w:tc>
          <w:tcPr>
            <w:tcW w:type="dxa" w:w="2315"/>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실행 전이면 S3, 실행이면 E1</w:t>
            </w:r>
          </w:p>
        </w:tc>
      </w:tr>
      <w:tr>
        <w:tc>
          <w:tcPr>
            <w:tcW w:type="dxa" w:w="1203"/>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N / S4</w:t>
            </w:r>
          </w:p>
        </w:tc>
        <w:tc>
          <w:tcPr>
            <w:tcW w:type="dxa" w:w="3240"/>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새 방식이 반복·정렬되고 교란 후 복귀하는가?</w:t>
            </w:r>
          </w:p>
        </w:tc>
        <w:tc>
          <w:tcPr>
            <w:tcW w:type="dxa" w:w="296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S4-1·S4-2(관찰창), S4-3(교란 후)</w:t>
            </w:r>
          </w:p>
        </w:tc>
        <w:tc>
          <w:tcPr>
            <w:tcW w:type="dxa" w:w="2315"/>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최초 실행 직후는 N, 안정화 증거가 있으면 S4</w:t>
            </w:r>
          </w:p>
        </w:tc>
      </w:tr>
    </w:tbl>
    <w:p>
      <w:pPr>
        <w:pStyle w:val="Heading1"/>
        <w:pBdr>
          <w:bottom w:val="single" w:color="2E4A62" w:sz="6" w:space="4"/>
        </w:pBdr>
        <w:spacing w:after="160" w:before="360"/>
      </w:pPr>
      <w:r>
        <w:rPr>
          <w:rFonts w:ascii="Noto Sans CJK KR" w:cs="Noto Sans CJK KR" w:eastAsia="Noto Sans CJK KR" w:hAnsi="Noto Sans CJK KR"/>
          <w:b/>
          <w:bCs/>
          <w:color w:val="2E4A62"/>
          <w:sz w:val="28"/>
          <w:szCs w:val="28"/>
        </w:rPr>
        <w:t xml:space="preserve">11  비용 역전과 관성의 검정 가능한 명세</w:t>
      </w:r>
    </w:p>
    <w:p>
      <w:pPr>
        <w:pStyle w:val="Heading2"/>
        <w:spacing w:after="100" w:before="240"/>
      </w:pPr>
      <w:r>
        <w:rPr>
          <w:rFonts w:ascii="Noto Sans CJK KR" w:cs="Noto Sans CJK KR" w:eastAsia="Noto Sans CJK KR" w:hAnsi="Noto Sans CJK KR"/>
          <w:b/>
          <w:bCs/>
          <w:color w:val="2E4A62"/>
          <w:sz w:val="23"/>
          <w:szCs w:val="23"/>
        </w:rPr>
        <w:t xml:space="preserve">11.1 독립 측정</w:t>
      </w:r>
    </w:p>
    <w:p>
      <w:pPr>
        <w:spacing w:after="120" w:line="300"/>
        <w:jc w:val="both"/>
      </w:pPr>
      <w:r>
        <w:rPr>
          <w:rFonts w:ascii="Noto Sans CJK KR" w:cs="Noto Sans CJK KR" w:eastAsia="Noto Sans CJK KR" w:hAnsi="Noto Sans CJK KR"/>
          <w:sz w:val="20"/>
          <w:szCs w:val="20"/>
        </w:rPr>
        <w:t xml:space="preserve">DTTM의 비용식은 Cₘ &gt; α·Cₜ이다. Cₘ은 현 체제의 유지비용(심리·인지·관계·구조), Cₜ는 전환비용(학습·손실·불확실성·절차), α는 관성의 가중이다. 세 구성요소는 서로 다른 문항과 자료원으로 측정하고, 결과(전이)는 독립된 기록으로 관찰한다.</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9"/>
        <w:gridCol w:w="2916"/>
        <w:gridCol w:w="3304"/>
        <w:gridCol w:w="1751"/>
      </w:tblGrid>
      <w:tr>
        <w:trPr>
          <w:tblHeader/>
        </w:trPr>
        <w:tc>
          <w:tcPr>
            <w:tcW w:type="dxa" w:w="1749"/>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변수</w:t>
            </w:r>
          </w:p>
        </w:tc>
        <w:tc>
          <w:tcPr>
            <w:tcW w:type="dxa" w:w="291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주관적 측정</w:t>
            </w:r>
          </w:p>
        </w:tc>
        <w:tc>
          <w:tcPr>
            <w:tcW w:type="dxa" w:w="330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객관적 측정</w:t>
            </w:r>
          </w:p>
        </w:tc>
        <w:tc>
          <w:tcPr>
            <w:tcW w:type="dxa" w:w="1751"/>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측정 시점</w:t>
            </w:r>
          </w:p>
        </w:tc>
      </w:tr>
      <w:tr>
        <w:tc>
          <w:tcPr>
            <w:tcW w:type="dxa" w:w="1749"/>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Cₘ 유지비용</w:t>
            </w:r>
          </w:p>
        </w:tc>
        <w:tc>
          <w:tcPr>
            <w:tcW w:type="dxa" w:w="29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재작업 부담, 역할갈등, 소진 척도</w:t>
            </w:r>
          </w:p>
        </w:tc>
        <w:tc>
          <w:tcPr>
            <w:tcW w:type="dxa" w:w="330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재작업시간, 지연 건수, 예외 처리 건수</w:t>
            </w:r>
          </w:p>
        </w:tc>
        <w:tc>
          <w:tcPr>
            <w:tcW w:type="dxa" w:w="1751"/>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매 파</w:t>
            </w:r>
          </w:p>
        </w:tc>
      </w:tr>
      <w:tr>
        <w:tc>
          <w:tcPr>
            <w:tcW w:type="dxa" w:w="1749"/>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Cₜ 전환비용</w:t>
            </w:r>
          </w:p>
        </w:tc>
        <w:tc>
          <w:tcPr>
            <w:tcW w:type="dxa" w:w="291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예상 학습 부담, 실패 위험 지각, 관계 손실 지각</w:t>
            </w:r>
          </w:p>
        </w:tc>
        <w:tc>
          <w:tcPr>
            <w:tcW w:type="dxa" w:w="330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예상 학습시간, 필요한 승인 단계 수</w:t>
            </w:r>
          </w:p>
        </w:tc>
        <w:tc>
          <w:tcPr>
            <w:tcW w:type="dxa" w:w="1751"/>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매 파</w:t>
            </w:r>
          </w:p>
        </w:tc>
      </w:tr>
      <w:tr>
        <w:tc>
          <w:tcPr>
            <w:tcW w:type="dxa" w:w="1749"/>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α 관성</w:t>
            </w:r>
          </w:p>
        </w:tc>
        <w:tc>
          <w:tcPr>
            <w:tcW w:type="dxa" w:w="29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손실회피, 정체성 고착, 매몰비용 지각</w:t>
            </w:r>
          </w:p>
        </w:tc>
        <w:tc>
          <w:tcPr>
            <w:tcW w:type="dxa" w:w="330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근속기간, 기존 방식 사용기간, 제도 경직성(상황 변수)</w:t>
            </w:r>
          </w:p>
        </w:tc>
        <w:tc>
          <w:tcPr>
            <w:tcW w:type="dxa" w:w="1751"/>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기준선 + 매 파</w:t>
            </w:r>
          </w:p>
        </w:tc>
      </w:tr>
      <w:tr>
        <w:tc>
          <w:tcPr>
            <w:tcW w:type="dxa" w:w="1749"/>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촉발·지원</w:t>
            </w:r>
          </w:p>
        </w:tc>
        <w:tc>
          <w:tcPr>
            <w:tcW w:type="dxa" w:w="291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w:t>
            </w:r>
          </w:p>
        </w:tc>
        <w:tc>
          <w:tcPr>
            <w:tcW w:type="dxa" w:w="330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승인, 교육, 작은 사건의 발생일</w:t>
            </w:r>
          </w:p>
        </w:tc>
        <w:tc>
          <w:tcPr>
            <w:tcW w:type="dxa" w:w="1751"/>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사건 로그</w:t>
            </w:r>
          </w:p>
        </w:tc>
      </w:tr>
      <w:tr>
        <w:tc>
          <w:tcPr>
            <w:tcW w:type="dxa" w:w="1749"/>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결과</w:t>
            </w:r>
          </w:p>
        </w:tc>
        <w:tc>
          <w:tcPr>
            <w:tcW w:type="dxa" w:w="29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w:t>
            </w:r>
          </w:p>
        </w:tc>
        <w:tc>
          <w:tcPr>
            <w:tcW w:type="dxa" w:w="330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전이 시점, 방향, 유지기간</w:t>
            </w:r>
          </w:p>
        </w:tc>
        <w:tc>
          <w:tcPr>
            <w:tcW w:type="dxa" w:w="1751"/>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기록, 추적</w:t>
            </w:r>
          </w:p>
        </w:tc>
      </w:tr>
    </w:tbl>
    <w:p>
      <w:pPr>
        <w:pStyle w:val="Heading2"/>
        <w:spacing w:after="100" w:before="240"/>
      </w:pPr>
      <w:r>
        <w:rPr>
          <w:rFonts w:ascii="Noto Sans CJK KR" w:cs="Noto Sans CJK KR" w:eastAsia="Noto Sans CJK KR" w:hAnsi="Noto Sans CJK KR"/>
          <w:b/>
          <w:bCs/>
          <w:color w:val="2E4A62"/>
          <w:sz w:val="23"/>
          <w:szCs w:val="23"/>
        </w:rPr>
        <w:t xml:space="preserve">11.2 비율형 가설의 계수 제약 검정</w:t>
      </w:r>
    </w:p>
    <w:p>
      <w:pPr>
        <w:spacing w:after="120" w:line="300"/>
        <w:jc w:val="both"/>
      </w:pPr>
      <w:r>
        <w:rPr>
          <w:rFonts w:ascii="Noto Sans CJK KR" w:cs="Noto Sans CJK KR" w:eastAsia="Noto Sans CJK KR" w:hAnsi="Noto Sans CJK KR"/>
          <w:sz w:val="20"/>
          <w:szCs w:val="20"/>
        </w:rPr>
        <w:t xml:space="preserve">비용식에 로그를 취하면 ln Cₘ − ln Cₜ − ln α &gt; 0이 된다. 이를 이산시간 생존모형에 넣으면 다음과 같다.</w:t>
      </w:r>
    </w:p>
    <w:p>
      <w:pPr>
        <w:spacing w:after="160" w:before="80"/>
        <w:jc w:val="center"/>
      </w:pPr>
      <w:r>
        <w:rPr>
          <w:rFonts w:ascii="Noto Sans CJK KR" w:cs="Noto Sans CJK KR" w:eastAsia="Noto Sans CJK KR" w:hAnsi="Noto Sans CJK KR"/>
          <w:b/>
          <w:bCs/>
          <w:color w:val="2E4A62"/>
          <w:sz w:val="22"/>
          <w:szCs w:val="22"/>
        </w:rPr>
        <w:t xml:space="preserve">logit h(t) = β₀(t) + β₁ ln Cₘ + β₂ ln Cₜ + β₃ ln α + γ·(통제변수)</w:t>
      </w:r>
    </w:p>
    <w:p>
      <w:pPr>
        <w:spacing w:after="120" w:line="300"/>
        <w:jc w:val="both"/>
      </w:pPr>
      <w:r>
        <w:rPr>
          <w:rFonts w:ascii="Noto Sans CJK KR" w:cs="Noto Sans CJK KR" w:eastAsia="Noto Sans CJK KR" w:hAnsi="Noto Sans CJK KR"/>
          <w:sz w:val="20"/>
          <w:szCs w:val="20"/>
        </w:rPr>
        <w:t xml:space="preserve">비율형 이론은 </w:t>
      </w:r>
      <w:r>
        <w:rPr>
          <w:rFonts w:ascii="Noto Sans CJK KR" w:cs="Noto Sans CJK KR" w:eastAsia="Noto Sans CJK KR" w:hAnsi="Noto Sans CJK KR"/>
          <w:b/>
          <w:bCs/>
          <w:sz w:val="20"/>
          <w:szCs w:val="20"/>
        </w:rPr>
        <w:t xml:space="preserve">β₁ = −β₂ = −β₃ &gt; 0</w:t>
      </w:r>
      <w:r>
        <w:rPr>
          <w:rFonts w:ascii="Noto Sans CJK KR" w:cs="Noto Sans CJK KR" w:eastAsia="Noto Sans CJK KR" w:hAnsi="Noto Sans CJK KR"/>
          <w:sz w:val="20"/>
          <w:szCs w:val="20"/>
        </w:rPr>
        <w:t xml:space="preserve">이라는 구체적인 예측을 만든다. 이 등식 제약을 Wald 검정 또는 제약·자유 모형 비교로 확인한다. 제약이 기각되면 비용식을 가산형(Cₘ − α·Cₜ) 또는 다른 함수형으로 수정하고, 어떤 형태가 더 나은지 정보기준으로 비교한다.</w:t>
      </w:r>
    </w:p>
    <w:p>
      <w:pPr>
        <w:spacing w:after="120" w:line="300"/>
        <w:jc w:val="both"/>
      </w:pPr>
      <w:r>
        <w:rPr>
          <w:rFonts w:ascii="Noto Sans CJK KR" w:cs="Noto Sans CJK KR" w:eastAsia="Noto Sans CJK KR" w:hAnsi="Noto Sans CJK KR"/>
          <w:sz w:val="20"/>
          <w:szCs w:val="20"/>
        </w:rPr>
        <w:t xml:space="preserve">주의할 점이 있다. 로그 변환은 비율척도를 전제하지만 리커트 점수는 비율척도가 아니다. 따라서 이 검정은 시간·건수 같은 객관적 지표를 중심으로 수행하고, 주관적 척도는 민감도 분석으로 보고한다. α가 개인 성향인지 맥락 계수인지는 미확정이므로, α를 개인 간 변수로 둔 모형과 시점별로 변하는 변수로 둔 모형을 비교한다.</w:t>
      </w:r>
    </w:p>
    <w:p>
      <w:pPr>
        <w:pStyle w:val="Heading2"/>
        <w:spacing w:after="100" w:before="240"/>
      </w:pPr>
      <w:r>
        <w:rPr>
          <w:rFonts w:ascii="Noto Sans CJK KR" w:cs="Noto Sans CJK KR" w:eastAsia="Noto Sans CJK KR" w:hAnsi="Noto Sans CJK KR"/>
          <w:b/>
          <w:bCs/>
          <w:color w:val="2E4A62"/>
          <w:sz w:val="23"/>
          <w:szCs w:val="23"/>
        </w:rPr>
        <w:t xml:space="preserve">11.3 cusp 모형과 이력현상</w:t>
      </w:r>
    </w:p>
    <w:p>
      <w:pPr>
        <w:spacing w:after="120" w:line="300"/>
        <w:jc w:val="both"/>
      </w:pPr>
      <w:r>
        <w:rPr>
          <w:rFonts w:ascii="Noto Sans CJK KR" w:cs="Noto Sans CJK KR" w:eastAsia="Noto Sans CJK KR" w:hAnsi="Noto Sans CJK KR"/>
          <w:sz w:val="20"/>
          <w:szCs w:val="20"/>
        </w:rPr>
        <w:t xml:space="preserve">DTTM의 임계 개념은 파국이론의 cusp 모형과 연결된다. 비용차(Cₘ − Cₜ)를 정상요인(normal factor)으로, 관성 α를 분기요인(splitting factor)으로 두면 다음 예측이 도출된다. 관성이 높을수록 ① 결과 분포의 이봉성, ② 불연속 도약, ③ 이력현상이 뚜렷해진다. cusp 모형은 R의 cusp 패키지(Grasman 외, 2009)로 적합하고 선형·로지스틱 모형과 비교한다. 이 분석은 횡단 자료로도 탐색할 수 있어 연구 2 단계에서 활용할 수 있다.</w:t>
      </w:r>
    </w:p>
    <w:p>
      <w:pPr>
        <w:spacing w:after="120" w:line="300"/>
        <w:jc w:val="both"/>
      </w:pPr>
      <w:r>
        <w:rPr>
          <w:rFonts w:ascii="Noto Sans CJK KR" w:cs="Noto Sans CJK KR" w:eastAsia="Noto Sans CJK KR" w:hAnsi="Noto Sans CJK KR"/>
          <w:sz w:val="20"/>
          <w:szCs w:val="20"/>
        </w:rPr>
        <w:t xml:space="preserve">종단 자료에서는 </w:t>
      </w:r>
      <w:r>
        <w:rPr>
          <w:rFonts w:ascii="Noto Sans CJK KR" w:cs="Noto Sans CJK KR" w:eastAsia="Noto Sans CJK KR" w:hAnsi="Noto Sans CJK KR"/>
          <w:b/>
          <w:bCs/>
          <w:sz w:val="20"/>
          <w:szCs w:val="20"/>
        </w:rPr>
        <w:t xml:space="preserve">이력현상 명제(P9)</w:t>
      </w:r>
      <w:r>
        <w:rPr>
          <w:rFonts w:ascii="Noto Sans CJK KR" w:cs="Noto Sans CJK KR" w:eastAsia="Noto Sans CJK KR" w:hAnsi="Noto Sans CJK KR"/>
          <w:sz w:val="20"/>
          <w:szCs w:val="20"/>
        </w:rPr>
        <w:t xml:space="preserve">를 추가한다. R₁에서 R₀로 되돌아가는 역전이가 일어나는 시점의 비용차는, R₀에서 R₁로 전이할 때의 비용차보다 반대 방향으로 더 커야 한다. 이 비대칭은 DTTM을 단순한 선형 의사결정 모형과 구별하는 핵심 예측이다.</w:t>
      </w:r>
    </w:p>
    <w:p>
      <w:pPr>
        <w:spacing w:after="120" w:line="300"/>
        <w:jc w:val="both"/>
      </w:pPr>
      <w:r>
        <w:rPr>
          <w:rFonts w:ascii="Noto Sans CJK KR" w:cs="Noto Sans CJK KR" w:eastAsia="Noto Sans CJK KR" w:hAnsi="Noto Sans CJK KR"/>
          <w:sz w:val="20"/>
          <w:szCs w:val="20"/>
        </w:rPr>
        <w:t xml:space="preserve">비용차가 0을 넘으면 모든 사람이 반드시 전이한다는 결정론으로 해석하지 않는다. 모든 예측은 전이 위험(확률)에 관한 것이다.</w:t>
      </w:r>
    </w:p>
    <w:p>
      <w:pPr>
        <w:pStyle w:val="Heading1"/>
        <w:pBdr>
          <w:bottom w:val="single" w:color="2E4A62" w:sz="6" w:space="4"/>
        </w:pBdr>
        <w:spacing w:after="160" w:before="360"/>
      </w:pPr>
      <w:r>
        <w:rPr>
          <w:rFonts w:ascii="Noto Sans CJK KR" w:cs="Noto Sans CJK KR" w:eastAsia="Noto Sans CJK KR" w:hAnsi="Noto Sans CJK KR"/>
          <w:b/>
          <w:bCs/>
          <w:color w:val="2E4A62"/>
          <w:sz w:val="28"/>
          <w:szCs w:val="28"/>
        </w:rPr>
        <w:t xml:space="preserve">12  전이행렬의 사전 명세</w:t>
      </w:r>
    </w:p>
    <w:p>
      <w:pPr>
        <w:spacing w:after="120" w:line="300"/>
        <w:jc w:val="both"/>
      </w:pPr>
      <w:r>
        <w:rPr>
          <w:rFonts w:ascii="Noto Sans CJK KR" w:cs="Noto Sans CJK KR" w:eastAsia="Noto Sans CJK KR" w:hAnsi="Noto Sans CJK KR"/>
          <w:sz w:val="20"/>
          <w:szCs w:val="20"/>
        </w:rPr>
        <w:t xml:space="preserve">잠재전이분석에서 기존 체제(R₀) 안의 전이확률에 관해 다음 가설을 사전에 명세한다. 행은 t 시점, 열은 t+1 시점이다. ●는 자유 추정하며 상대적으로 큰 값을 예측하는 칸, ○는 자유 추정하되 작은 값을 예측하는 칸, –는 자발 전이 모형에서 0으로 고정하는 칸이다(Mplus에서는 전이 로짓을 −15로 고정).</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6"/>
        <w:gridCol w:w="1278"/>
        <w:gridCol w:w="1278"/>
        <w:gridCol w:w="1278"/>
        <w:gridCol w:w="1278"/>
        <w:gridCol w:w="1278"/>
        <w:gridCol w:w="1284"/>
      </w:tblGrid>
      <w:tr>
        <w:trPr>
          <w:tblHeader/>
        </w:trPr>
        <w:tc>
          <w:tcPr>
            <w:tcW w:type="dxa" w:w="204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t \ t+1</w:t>
            </w:r>
          </w:p>
        </w:tc>
        <w:tc>
          <w:tcPr>
            <w:tcW w:type="dxa" w:w="1278"/>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B</w:t>
            </w:r>
          </w:p>
        </w:tc>
        <w:tc>
          <w:tcPr>
            <w:tcW w:type="dxa" w:w="1278"/>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S0</w:t>
            </w:r>
          </w:p>
        </w:tc>
        <w:tc>
          <w:tcPr>
            <w:tcW w:type="dxa" w:w="1278"/>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S1</w:t>
            </w:r>
          </w:p>
        </w:tc>
        <w:tc>
          <w:tcPr>
            <w:tcW w:type="dxa" w:w="1278"/>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S2</w:t>
            </w:r>
          </w:p>
        </w:tc>
        <w:tc>
          <w:tcPr>
            <w:tcW w:type="dxa" w:w="1278"/>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S3</w:t>
            </w:r>
          </w:p>
        </w:tc>
        <w:tc>
          <w:tcPr>
            <w:tcW w:type="dxa" w:w="128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E1</w:t>
            </w:r>
          </w:p>
        </w:tc>
      </w:tr>
      <w:tr>
        <w:tc>
          <w:tcPr>
            <w:tcW w:type="dxa" w:w="204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B</w:t>
            </w:r>
          </w:p>
        </w:tc>
        <w:tc>
          <w:tcPr>
            <w:tcW w:type="dxa" w:w="127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7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7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7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7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8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r>
      <w:tr>
        <w:tc>
          <w:tcPr>
            <w:tcW w:type="dxa" w:w="204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S0</w:t>
            </w:r>
          </w:p>
        </w:tc>
        <w:tc>
          <w:tcPr>
            <w:tcW w:type="dxa" w:w="127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7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7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7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7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8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r>
      <w:tr>
        <w:tc>
          <w:tcPr>
            <w:tcW w:type="dxa" w:w="204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S1</w:t>
            </w:r>
          </w:p>
        </w:tc>
        <w:tc>
          <w:tcPr>
            <w:tcW w:type="dxa" w:w="127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7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7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7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7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8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r>
      <w:tr>
        <w:tc>
          <w:tcPr>
            <w:tcW w:type="dxa" w:w="204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S2</w:t>
            </w:r>
          </w:p>
        </w:tc>
        <w:tc>
          <w:tcPr>
            <w:tcW w:type="dxa" w:w="127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7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7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7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7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8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r>
      <w:tr>
        <w:tc>
          <w:tcPr>
            <w:tcW w:type="dxa" w:w="204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S3</w:t>
            </w:r>
          </w:p>
        </w:tc>
        <w:tc>
          <w:tcPr>
            <w:tcW w:type="dxa" w:w="127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7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7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7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7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c>
          <w:tcPr>
            <w:tcW w:type="dxa" w:w="128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val="false"/>
                <w:bCs w:val="false"/>
                <w:sz w:val="18"/>
                <w:szCs w:val="18"/>
              </w:rPr>
              <w:t xml:space="preserve">●</w:t>
            </w:r>
          </w:p>
        </w:tc>
      </w:tr>
    </w:tbl>
    <w:p>
      <w:pPr>
        <w:spacing w:after="80"/>
      </w:pPr>
    </w:p>
    <w:p>
      <w:pPr>
        <w:pStyle w:val="ListParagraph"/>
        <w:numPr>
          <w:ilvl w:val="0"/>
          <w:numId w:val="3"/>
        </w:numPr>
        <w:spacing w:after="80" w:line="290"/>
      </w:pPr>
      <w:r>
        <w:rPr>
          <w:rFonts w:ascii="Noto Sans CJK KR" w:cs="Noto Sans CJK KR" w:eastAsia="Noto Sans CJK KR" w:hAnsi="Noto Sans CJK KR"/>
          <w:b/>
          <w:bCs/>
          <w:sz w:val="20"/>
          <w:szCs w:val="20"/>
        </w:rPr>
        <w:t xml:space="preserve">순서성 가설:</w:t>
      </w:r>
      <w:r>
        <w:rPr>
          <w:rFonts w:ascii="Noto Sans CJK KR" w:cs="Noto Sans CJK KR" w:eastAsia="Noto Sans CJK KR" w:hAnsi="Noto Sans CJK KR"/>
          <w:sz w:val="20"/>
          <w:szCs w:val="20"/>
        </w:rPr>
        <w:t xml:space="preserve"> 인접 전진 확률(●)은 비인접 도약 확률(○)보다 크다.</w:t>
      </w:r>
    </w:p>
    <w:p>
      <w:pPr>
        <w:pStyle w:val="ListParagraph"/>
        <w:numPr>
          <w:ilvl w:val="0"/>
          <w:numId w:val="3"/>
        </w:numPr>
        <w:spacing w:after="80" w:line="290"/>
      </w:pPr>
      <w:r>
        <w:rPr>
          <w:rFonts w:ascii="Noto Sans CJK KR" w:cs="Noto Sans CJK KR" w:eastAsia="Noto Sans CJK KR" w:hAnsi="Noto Sans CJK KR"/>
          <w:b/>
          <w:bCs/>
          <w:sz w:val="20"/>
          <w:szCs w:val="20"/>
        </w:rPr>
        <w:t xml:space="preserve">후퇴 가설:</w:t>
      </w:r>
      <w:r>
        <w:rPr>
          <w:rFonts w:ascii="Noto Sans CJK KR" w:cs="Noto Sans CJK KR" w:eastAsia="Noto Sans CJK KR" w:hAnsi="Noto Sans CJK KR"/>
          <w:sz w:val="20"/>
          <w:szCs w:val="20"/>
        </w:rPr>
        <w:t xml:space="preserve"> 후퇴 전이(예: S2→S1, S3→S2)는 0이 아니다.</w:t>
      </w:r>
    </w:p>
    <w:p>
      <w:pPr>
        <w:pStyle w:val="ListParagraph"/>
        <w:numPr>
          <w:ilvl w:val="0"/>
          <w:numId w:val="3"/>
        </w:numPr>
        <w:spacing w:after="80" w:line="290"/>
      </w:pPr>
      <w:r>
        <w:rPr>
          <w:rFonts w:ascii="Noto Sans CJK KR" w:cs="Noto Sans CJK KR" w:eastAsia="Noto Sans CJK KR" w:hAnsi="Noto Sans CJK KR"/>
          <w:b/>
          <w:bCs/>
          <w:sz w:val="20"/>
          <w:szCs w:val="20"/>
        </w:rPr>
        <w:t xml:space="preserve">S2→E1(○):</w:t>
      </w:r>
      <w:r>
        <w:rPr>
          <w:rFonts w:ascii="Noto Sans CJK KR" w:cs="Noto Sans CJK KR" w:eastAsia="Noto Sans CJK KR" w:hAnsi="Noto Sans CJK KR"/>
          <w:sz w:val="20"/>
          <w:szCs w:val="20"/>
        </w:rPr>
        <w:t xml:space="preserve"> 월 단위 간격에서는 S3을 짧게 통과한 경우가 관찰되지 않을 수 있으므로 작은 값으로 자유 추정한다. 이 확률이 크게 추정되면 조사 간격이 임계 구간보다 길다는 신호로 해석한다.</w:t>
      </w:r>
    </w:p>
    <w:p>
      <w:pPr>
        <w:pStyle w:val="ListParagraph"/>
        <w:numPr>
          <w:ilvl w:val="0"/>
          <w:numId w:val="3"/>
        </w:numPr>
        <w:spacing w:after="80" w:line="290"/>
      </w:pPr>
      <w:r>
        <w:rPr>
          <w:rFonts w:ascii="Noto Sans CJK KR" w:cs="Noto Sans CJK KR" w:eastAsia="Noto Sans CJK KR" w:hAnsi="Noto Sans CJK KR"/>
          <w:b/>
          <w:bCs/>
          <w:sz w:val="20"/>
          <w:szCs w:val="20"/>
        </w:rPr>
        <w:t xml:space="preserve">강제 전이:</w:t>
      </w:r>
      <w:r>
        <w:rPr>
          <w:rFonts w:ascii="Noto Sans CJK KR" w:cs="Noto Sans CJK KR" w:eastAsia="Noto Sans CJK KR" w:hAnsi="Noto Sans CJK KR"/>
          <w:sz w:val="20"/>
          <w:szCs w:val="20"/>
        </w:rPr>
        <w:t xml:space="preserve"> 외생 충격에 의한 이동은 – 칸을 자유화한 별도 모형으로 분석하고 자발 전이 모형과 비교한다.</w:t>
      </w:r>
    </w:p>
    <w:p>
      <w:pPr>
        <w:pStyle w:val="Heading1"/>
        <w:pBdr>
          <w:bottom w:val="single" w:color="2E4A62" w:sz="6" w:space="4"/>
        </w:pBdr>
        <w:spacing w:after="160" w:before="360"/>
      </w:pPr>
      <w:r>
        <w:rPr>
          <w:rFonts w:ascii="Noto Sans CJK KR" w:cs="Noto Sans CJK KR" w:eastAsia="Noto Sans CJK KR" w:hAnsi="Noto Sans CJK KR"/>
          <w:b/>
          <w:bCs/>
          <w:color w:val="2E4A62"/>
          <w:sz w:val="28"/>
          <w:szCs w:val="28"/>
        </w:rPr>
        <w:t xml:space="preserve">13  연구 설계와 분석 절차</w:t>
      </w:r>
    </w:p>
    <w:p>
      <w:pPr>
        <w:pStyle w:val="Heading2"/>
        <w:spacing w:after="100" w:before="240"/>
      </w:pPr>
      <w:r>
        <w:rPr>
          <w:rFonts w:ascii="Noto Sans CJK KR" w:cs="Noto Sans CJK KR" w:eastAsia="Noto Sans CJK KR" w:hAnsi="Noto Sans CJK KR"/>
          <w:b/>
          <w:bCs/>
          <w:color w:val="2E4A62"/>
          <w:sz w:val="23"/>
          <w:szCs w:val="23"/>
        </w:rPr>
        <w:t xml:space="preserve">13.1 단계별 연구</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
        <w:gridCol w:w="3304"/>
        <w:gridCol w:w="2916"/>
        <w:gridCol w:w="2528"/>
      </w:tblGrid>
      <w:tr>
        <w:trPr>
          <w:tblHeader/>
        </w:trPr>
        <w:tc>
          <w:tcPr>
            <w:tcW w:type="dxa" w:w="972"/>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단계</w:t>
            </w:r>
          </w:p>
        </w:tc>
        <w:tc>
          <w:tcPr>
            <w:tcW w:type="dxa" w:w="330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설계</w:t>
            </w:r>
          </w:p>
        </w:tc>
        <w:tc>
          <w:tcPr>
            <w:tcW w:type="dxa" w:w="291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가능한 결론</w:t>
            </w:r>
          </w:p>
        </w:tc>
        <w:tc>
          <w:tcPr>
            <w:tcW w:type="dxa" w:w="2528"/>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넘어서면 안 되는 주장</w:t>
            </w:r>
          </w:p>
        </w:tc>
      </w:tr>
      <w:tr>
        <w:tc>
          <w:tcPr>
            <w:tcW w:type="dxa" w:w="97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연구 1</w:t>
            </w:r>
          </w:p>
        </w:tc>
        <w:tc>
          <w:tcPr>
            <w:tcW w:type="dxa" w:w="330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전문가 내용타당도(CVI), 인지면접(COSMIN 기준)</w:t>
            </w:r>
          </w:p>
        </w:tc>
        <w:tc>
          <w:tcPr>
            <w:tcW w:type="dxa" w:w="29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정의와 문항의 관련성·포괄성·이해 가능성</w:t>
            </w:r>
          </w:p>
        </w:tc>
        <w:tc>
          <w:tcPr>
            <w:tcW w:type="dxa" w:w="252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통계적 타당화 완료</w:t>
            </w:r>
          </w:p>
        </w:tc>
      </w:tr>
      <w:tr>
        <w:tc>
          <w:tcPr>
            <w:tcW w:type="dxa" w:w="97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연구 2</w:t>
            </w:r>
          </w:p>
        </w:tc>
        <w:tc>
          <w:tcPr>
            <w:tcW w:type="dxa" w:w="330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분할표본 EFA/CFA, LCA, 이상점 IRT 비교, cusp 탐색</w:t>
            </w:r>
          </w:p>
        </w:tc>
        <w:tc>
          <w:tcPr>
            <w:tcW w:type="dxa" w:w="291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문항 구조, 국면 구분 가능성, 이봉성 단서</w:t>
            </w:r>
          </w:p>
        </w:tc>
        <w:tc>
          <w:tcPr>
            <w:tcW w:type="dxa" w:w="252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시간 순서와 임계 전이의 입증</w:t>
            </w:r>
          </w:p>
        </w:tc>
      </w:tr>
      <w:tr>
        <w:tc>
          <w:tcPr>
            <w:tcW w:type="dxa" w:w="97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연구 3</w:t>
            </w:r>
          </w:p>
        </w:tc>
        <w:tc>
          <w:tcPr>
            <w:tcW w:type="dxa" w:w="330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변화 공지 시점 모집, 월별 패널 6~9파, 행정 기록 연결</w:t>
            </w:r>
          </w:p>
        </w:tc>
        <w:tc>
          <w:tcPr>
            <w:tcW w:type="dxa" w:w="29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국면 분류, 전이확률, 후퇴·유지, 비용식 검정</w:t>
            </w:r>
          </w:p>
        </w:tc>
        <w:tc>
          <w:tcPr>
            <w:tcW w:type="dxa" w:w="252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짧은 임계 구간의 정밀한 시각 판정</w:t>
            </w:r>
          </w:p>
        </w:tc>
      </w:tr>
      <w:tr>
        <w:tc>
          <w:tcPr>
            <w:tcW w:type="dxa" w:w="97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연구 4</w:t>
            </w:r>
          </w:p>
        </w:tc>
        <w:tc>
          <w:tcPr>
            <w:tcW w:type="dxa" w:w="330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측정 버스트: 전이가 예상되는 구간에 하위표본 대상 근무일 일지 + 교란 사건 로그</w:t>
            </w:r>
          </w:p>
        </w:tc>
        <w:tc>
          <w:tcPr>
            <w:tcW w:type="dxa" w:w="291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개인 내 회복 지연, 변동, 변화점</w:t>
            </w:r>
          </w:p>
        </w:tc>
        <w:tc>
          <w:tcPr>
            <w:tcW w:type="dxa" w:w="252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모든 사람에게 보편적인 조기경보</w:t>
            </w:r>
          </w:p>
        </w:tc>
      </w:tr>
    </w:tbl>
    <w:p>
      <w:pPr>
        <w:spacing w:after="80"/>
      </w:pPr>
    </w:p>
    <w:p>
      <w:pPr>
        <w:spacing w:after="120" w:line="300"/>
        <w:jc w:val="both"/>
      </w:pPr>
      <w:r>
        <w:rPr>
          <w:rFonts w:ascii="Noto Sans CJK KR" w:cs="Noto Sans CJK KR" w:eastAsia="Noto Sans CJK KR" w:hAnsi="Noto Sans CJK KR"/>
          <w:sz w:val="20"/>
          <w:szCs w:val="20"/>
        </w:rPr>
        <w:t xml:space="preserve">측정 버스트 설계는 전체 기간을 촘촘히 측정하는 부담 없이 임계 구간 주변에서만 고빈도 자료를 확보하는 방법이다. 주간 12회 설계로는 개인 내 자기상관과 분산 추세를 안정적으로 추정하기 어렵다(Helmich 외, 2021). 버스트의 길이와 측정 횟수는 모의실험으로 정한다.</w:t>
      </w:r>
    </w:p>
    <w:p>
      <w:pPr>
        <w:pStyle w:val="Heading2"/>
        <w:spacing w:after="100" w:before="240"/>
      </w:pPr>
      <w:r>
        <w:rPr>
          <w:rFonts w:ascii="Noto Sans CJK KR" w:cs="Noto Sans CJK KR" w:eastAsia="Noto Sans CJK KR" w:hAnsi="Noto Sans CJK KR"/>
          <w:b/>
          <w:bCs/>
          <w:color w:val="2E4A62"/>
          <w:sz w:val="23"/>
          <w:szCs w:val="23"/>
        </w:rPr>
        <w:t xml:space="preserve">13.2 분석 흐름</w:t>
      </w:r>
    </w:p>
    <w:p>
      <w:pPr>
        <w:pStyle w:val="ListParagraph"/>
        <w:numPr>
          <w:ilvl w:val="0"/>
          <w:numId w:val="4"/>
        </w:numPr>
        <w:spacing w:after="80" w:line="290"/>
      </w:pPr>
      <w:r>
        <w:rPr>
          <w:rFonts w:ascii="Noto Sans CJK KR" w:cs="Noto Sans CJK KR" w:eastAsia="Noto Sans CJK KR" w:hAnsi="Noto Sans CJK KR"/>
          <w:b/>
          <w:bCs/>
          <w:sz w:val="20"/>
          <w:szCs w:val="20"/>
        </w:rPr>
        <w:t xml:space="preserve">파별 LCA:</w:t>
      </w:r>
      <w:r>
        <w:rPr>
          <w:rFonts w:ascii="Noto Sans CJK KR" w:cs="Noto Sans CJK KR" w:eastAsia="Noto Sans CJK KR" w:hAnsi="Noto Sans CJK KR"/>
          <w:sz w:val="20"/>
          <w:szCs w:val="20"/>
        </w:rPr>
        <w:t xml:space="preserve"> 각 시점에서 클래스 수를 결정한다(BIC, 표본크기 조정 BIC, 엔트로피, BLRT, 해석 가능성).</w:t>
      </w:r>
    </w:p>
    <w:p>
      <w:pPr>
        <w:pStyle w:val="ListParagraph"/>
        <w:numPr>
          <w:ilvl w:val="0"/>
          <w:numId w:val="4"/>
        </w:numPr>
        <w:spacing w:after="80" w:line="290"/>
      </w:pPr>
      <w:r>
        <w:rPr>
          <w:rFonts w:ascii="Noto Sans CJK KR" w:cs="Noto Sans CJK KR" w:eastAsia="Noto Sans CJK KR" w:hAnsi="Noto Sans CJK KR"/>
          <w:b/>
          <w:bCs/>
          <w:sz w:val="20"/>
          <w:szCs w:val="20"/>
        </w:rPr>
        <w:t xml:space="preserve">시점 간 측정불변성:</w:t>
      </w:r>
      <w:r>
        <w:rPr>
          <w:rFonts w:ascii="Noto Sans CJK KR" w:cs="Noto Sans CJK KR" w:eastAsia="Noto Sans CJK KR" w:hAnsi="Noto Sans CJK KR"/>
          <w:sz w:val="20"/>
          <w:szCs w:val="20"/>
        </w:rPr>
        <w:t xml:space="preserve"> 클래스별 문항 응답확률(임계값)의 시점 간 동일 제약 모형과 자유 모형을 비교한다. 불변성이 성립해야 클래스 간 이동을 “국면 전이”로 해석할 수 있다.</w:t>
      </w:r>
    </w:p>
    <w:p>
      <w:pPr>
        <w:pStyle w:val="ListParagraph"/>
        <w:numPr>
          <w:ilvl w:val="0"/>
          <w:numId w:val="4"/>
        </w:numPr>
        <w:spacing w:after="80" w:line="290"/>
      </w:pPr>
      <w:r>
        <w:rPr>
          <w:rFonts w:ascii="Noto Sans CJK KR" w:cs="Noto Sans CJK KR" w:eastAsia="Noto Sans CJK KR" w:hAnsi="Noto Sans CJK KR"/>
          <w:b/>
          <w:bCs/>
          <w:sz w:val="20"/>
          <w:szCs w:val="20"/>
        </w:rPr>
        <w:t xml:space="preserve">LTA:</w:t>
      </w:r>
      <w:r>
        <w:rPr>
          <w:rFonts w:ascii="Noto Sans CJK KR" w:cs="Noto Sans CJK KR" w:eastAsia="Noto Sans CJK KR" w:hAnsi="Noto Sans CJK KR"/>
          <w:sz w:val="20"/>
          <w:szCs w:val="20"/>
        </w:rPr>
        <w:t xml:space="preserve"> 12장의 전이행렬 제약 모형과 자유 모형을 비교한다.</w:t>
      </w:r>
    </w:p>
    <w:p>
      <w:pPr>
        <w:pStyle w:val="ListParagraph"/>
        <w:numPr>
          <w:ilvl w:val="0"/>
          <w:numId w:val="4"/>
        </w:numPr>
        <w:spacing w:after="80" w:line="290"/>
      </w:pPr>
      <w:r>
        <w:rPr>
          <w:rFonts w:ascii="Noto Sans CJK KR" w:cs="Noto Sans CJK KR" w:eastAsia="Noto Sans CJK KR" w:hAnsi="Noto Sans CJK KR"/>
          <w:b/>
          <w:bCs/>
          <w:sz w:val="20"/>
          <w:szCs w:val="20"/>
        </w:rPr>
        <w:t xml:space="preserve">이산시간 생존분석(DTSA):</w:t>
      </w:r>
      <w:r>
        <w:rPr>
          <w:rFonts w:ascii="Noto Sans CJK KR" w:cs="Noto Sans CJK KR" w:eastAsia="Noto Sans CJK KR" w:hAnsi="Noto Sans CJK KR"/>
          <w:sz w:val="20"/>
          <w:szCs w:val="20"/>
        </w:rPr>
        <w:t xml:space="preserve"> 체제 전환(E1)을 결과로 하여 11장의 비용식과 계기×준비도 상호작용을 검정한다.</w:t>
      </w:r>
    </w:p>
    <w:p>
      <w:pPr>
        <w:pStyle w:val="ListParagraph"/>
        <w:numPr>
          <w:ilvl w:val="0"/>
          <w:numId w:val="4"/>
        </w:numPr>
        <w:spacing w:after="80" w:line="290"/>
      </w:pPr>
      <w:r>
        <w:rPr>
          <w:rFonts w:ascii="Noto Sans CJK KR" w:cs="Noto Sans CJK KR" w:eastAsia="Noto Sans CJK KR" w:hAnsi="Noto Sans CJK KR"/>
          <w:b/>
          <w:bCs/>
          <w:sz w:val="20"/>
          <w:szCs w:val="20"/>
        </w:rPr>
        <w:t xml:space="preserve">동태 분석:</w:t>
      </w:r>
      <w:r>
        <w:rPr>
          <w:rFonts w:ascii="Noto Sans CJK KR" w:cs="Noto Sans CJK KR" w:eastAsia="Noto Sans CJK KR" w:hAnsi="Noto Sans CJK KR"/>
          <w:sz w:val="20"/>
          <w:szCs w:val="20"/>
        </w:rPr>
        <w:t xml:space="preserve"> 버스트 자료에서 교란 후 회복시간(다층 모형), 이동창 AR(1)·표준편차의 추세를 전이 전 구간과 대조 구간 사이에서 비교한다.</w:t>
      </w:r>
    </w:p>
    <w:p>
      <w:pPr>
        <w:pStyle w:val="ListParagraph"/>
        <w:numPr>
          <w:ilvl w:val="0"/>
          <w:numId w:val="4"/>
        </w:numPr>
        <w:spacing w:after="80" w:line="290"/>
      </w:pPr>
      <w:r>
        <w:rPr>
          <w:rFonts w:ascii="Noto Sans CJK KR" w:cs="Noto Sans CJK KR" w:eastAsia="Noto Sans CJK KR" w:hAnsi="Noto Sans CJK KR"/>
          <w:b/>
          <w:bCs/>
          <w:sz w:val="20"/>
          <w:szCs w:val="20"/>
        </w:rPr>
        <w:t xml:space="preserve">표본 설계:</w:t>
      </w:r>
      <w:r>
        <w:rPr>
          <w:rFonts w:ascii="Noto Sans CJK KR" w:cs="Noto Sans CJK KR" w:eastAsia="Noto Sans CJK KR" w:hAnsi="Noto Sans CJK KR"/>
          <w:sz w:val="20"/>
          <w:szCs w:val="20"/>
        </w:rPr>
        <w:t xml:space="preserve"> Mplus MONTECARLO로 예상 전이율, 분류 불확실성(엔트로피), 탈락률을 반영하여 표본 규모와 파수를 정한다.</w:t>
      </w:r>
    </w:p>
    <w:p>
      <w:pPr>
        <w:spacing w:after="120" w:line="300"/>
        <w:jc w:val="both"/>
      </w:pPr>
      <w:r>
        <w:rPr>
          <w:rFonts w:ascii="Noto Sans CJK KR" w:cs="Noto Sans CJK KR" w:eastAsia="Noto Sans CJK KR" w:hAnsi="Noto Sans CJK KR"/>
          <w:sz w:val="20"/>
          <w:szCs w:val="20"/>
        </w:rPr>
        <w:t xml:space="preserve">기존 전문직 5직군 N=586 자료는 DTTM 이론 구성의 간접 근거이며, 여섯 국면을 반복 측정한 직접 검증자료가 아니다. 다만 비용·관성 관련 변수가 있다면 cusp 탐색 분석의 예비 자료로 활용을 검토할 수 있다.</w:t>
      </w:r>
    </w:p>
    <w:p>
      <w:pPr>
        <w:pStyle w:val="Heading1"/>
        <w:pBdr>
          <w:bottom w:val="single" w:color="2E4A62" w:sz="6" w:space="4"/>
        </w:pBdr>
        <w:spacing w:after="160" w:before="360"/>
      </w:pPr>
      <w:r>
        <w:rPr>
          <w:rFonts w:ascii="Noto Sans CJK KR" w:cs="Noto Sans CJK KR" w:eastAsia="Noto Sans CJK KR" w:hAnsi="Noto Sans CJK KR"/>
          <w:b/>
          <w:bCs/>
          <w:color w:val="2E4A62"/>
          <w:sz w:val="28"/>
          <w:szCs w:val="28"/>
        </w:rPr>
        <w:t xml:space="preserve">14  명제–검정–기각 기준</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7"/>
        <w:gridCol w:w="2616"/>
        <w:gridCol w:w="3177"/>
        <w:gridCol w:w="3180"/>
      </w:tblGrid>
      <w:tr>
        <w:trPr>
          <w:tblHeader/>
        </w:trPr>
        <w:tc>
          <w:tcPr>
            <w:tcW w:type="dxa" w:w="747"/>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명제</w:t>
            </w:r>
          </w:p>
        </w:tc>
        <w:tc>
          <w:tcPr>
            <w:tcW w:type="dxa" w:w="261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내용</w:t>
            </w:r>
          </w:p>
        </w:tc>
        <w:tc>
          <w:tcPr>
            <w:tcW w:type="dxa" w:w="3177"/>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검정</w:t>
            </w:r>
          </w:p>
        </w:tc>
        <w:tc>
          <w:tcPr>
            <w:tcW w:type="dxa" w:w="3180"/>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수정·기각 기준</w:t>
            </w:r>
          </w:p>
        </w:tc>
      </w:tr>
      <w:tr>
        <w:tc>
          <w:tcPr>
            <w:tcW w:type="dxa" w:w="747"/>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P1</w:t>
            </w:r>
          </w:p>
        </w:tc>
        <w:tc>
          <w:tcPr>
            <w:tcW w:type="dxa" w:w="26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S0은 독립 국면이다</w:t>
            </w:r>
          </w:p>
        </w:tc>
        <w:tc>
          <w:tcPr>
            <w:tcW w:type="dxa" w:w="3177"/>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5국면 대 4국면 LTA 비교, P(S0→S1) 대 P(B→S1)</w:t>
            </w:r>
          </w:p>
        </w:tc>
        <w:tc>
          <w:tcPr>
            <w:tcW w:type="dxa" w:w="3180"/>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통합 모형 우세 + 차이 신뢰구간이 0을 포함하면 S0 통합</w:t>
            </w:r>
          </w:p>
        </w:tc>
      </w:tr>
      <w:tr>
        <w:tc>
          <w:tcPr>
            <w:tcW w:type="dxa" w:w="747"/>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P2</w:t>
            </w:r>
          </w:p>
        </w:tc>
        <w:tc>
          <w:tcPr>
            <w:tcW w:type="dxa" w:w="261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국면 이동은 대체로 순서적이다</w:t>
            </w:r>
          </w:p>
        </w:tc>
        <w:tc>
          <w:tcPr>
            <w:tcW w:type="dxa" w:w="3177"/>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비인접 전이 0 고정 모형 대 자유 모형</w:t>
            </w:r>
          </w:p>
        </w:tc>
        <w:tc>
          <w:tcPr>
            <w:tcW w:type="dxa" w:w="3180"/>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비인접 도약이 인접 전진 이상이면 “대표 경로” 주장 약화</w:t>
            </w:r>
          </w:p>
        </w:tc>
      </w:tr>
      <w:tr>
        <w:tc>
          <w:tcPr>
            <w:tcW w:type="dxa" w:w="747"/>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P3</w:t>
            </w:r>
          </w:p>
        </w:tc>
        <w:tc>
          <w:tcPr>
            <w:tcW w:type="dxa" w:w="26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S1은 복원력을 유지하고 S2는 저하된다</w:t>
            </w:r>
          </w:p>
        </w:tc>
        <w:tc>
          <w:tcPr>
            <w:tcW w:type="dxa" w:w="3177"/>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동일 개인의 S1·S2 구간 회복시간 비교(다층)</w:t>
            </w:r>
          </w:p>
        </w:tc>
        <w:tc>
          <w:tcPr>
            <w:tcW w:type="dxa" w:w="3180"/>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차이가 없으면 S1/S2 구분 기준 재정의</w:t>
            </w:r>
          </w:p>
        </w:tc>
      </w:tr>
      <w:tr>
        <w:tc>
          <w:tcPr>
            <w:tcW w:type="dxa" w:w="747"/>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P4</w:t>
            </w:r>
          </w:p>
        </w:tc>
        <w:tc>
          <w:tcPr>
            <w:tcW w:type="dxa" w:w="261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지각된 경계는 동태적 경계와 수렴한다</w:t>
            </w:r>
          </w:p>
        </w:tc>
        <w:tc>
          <w:tcPr>
            <w:tcW w:type="dxa" w:w="3177"/>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설문 점수와 회복시간·AR(1)의 상관</w:t>
            </w:r>
          </w:p>
        </w:tc>
        <w:tc>
          <w:tcPr>
            <w:tcW w:type="dxa" w:w="3180"/>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수렴이 약하면 설문을 S2 대리 지표로 사용 불가</w:t>
            </w:r>
          </w:p>
        </w:tc>
      </w:tr>
      <w:tr>
        <w:tc>
          <w:tcPr>
            <w:tcW w:type="dxa" w:w="747"/>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P5</w:t>
            </w:r>
          </w:p>
        </w:tc>
        <w:tc>
          <w:tcPr>
            <w:tcW w:type="dxa" w:w="26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전이 전 조기경보 신호가 나타난다</w:t>
            </w:r>
          </w:p>
        </w:tc>
        <w:tc>
          <w:tcPr>
            <w:tcW w:type="dxa" w:w="3177"/>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전이 전 창 대 대조 창의 AR(1)·분산 추세</w:t>
            </w:r>
          </w:p>
        </w:tc>
        <w:tc>
          <w:tcPr>
            <w:tcW w:type="dxa" w:w="3180"/>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차이가 없으면 조기경보 가설 기각</w:t>
            </w:r>
          </w:p>
        </w:tc>
      </w:tr>
      <w:tr>
        <w:tc>
          <w:tcPr>
            <w:tcW w:type="dxa" w:w="747"/>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P6</w:t>
            </w:r>
          </w:p>
        </w:tc>
        <w:tc>
          <w:tcPr>
            <w:tcW w:type="dxa" w:w="261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비용식은 비율형이다</w:t>
            </w:r>
          </w:p>
        </w:tc>
        <w:tc>
          <w:tcPr>
            <w:tcW w:type="dxa" w:w="3177"/>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β₁ = −β₂ = −β₃ 등식 제약 검정</w:t>
            </w:r>
          </w:p>
        </w:tc>
        <w:tc>
          <w:tcPr>
            <w:tcW w:type="dxa" w:w="3180"/>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기각되면 가산형 등 대안 함수형 채택</w:t>
            </w:r>
          </w:p>
        </w:tc>
      </w:tr>
      <w:tr>
        <w:tc>
          <w:tcPr>
            <w:tcW w:type="dxa" w:w="747"/>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P7</w:t>
            </w:r>
          </w:p>
        </w:tc>
        <w:tc>
          <w:tcPr>
            <w:tcW w:type="dxa" w:w="26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전이는 비선형 임계 과정이다</w:t>
            </w:r>
          </w:p>
        </w:tc>
        <w:tc>
          <w:tcPr>
            <w:tcW w:type="dxa" w:w="3177"/>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cusp 대 선형·로지스틱 비교, 이봉성</w:t>
            </w:r>
          </w:p>
        </w:tc>
        <w:tc>
          <w:tcPr>
            <w:tcW w:type="dxa" w:w="3180"/>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비선형 모형의 우위가 없으면 “임계”를 은유 수준으로 제한</w:t>
            </w:r>
          </w:p>
        </w:tc>
      </w:tr>
      <w:tr>
        <w:tc>
          <w:tcPr>
            <w:tcW w:type="dxa" w:w="747"/>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P8</w:t>
            </w:r>
          </w:p>
        </w:tc>
        <w:tc>
          <w:tcPr>
            <w:tcW w:type="dxa" w:w="261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S3에서 계기 민감성이 높다</w:t>
            </w:r>
          </w:p>
        </w:tc>
        <w:tc>
          <w:tcPr>
            <w:tcW w:type="dxa" w:w="3177"/>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계기×준비도 상호작용의 전이 위험 효과</w:t>
            </w:r>
          </w:p>
        </w:tc>
        <w:tc>
          <w:tcPr>
            <w:tcW w:type="dxa" w:w="3180"/>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상호작용이 없으면 민감성 요소 제거</w:t>
            </w:r>
          </w:p>
        </w:tc>
      </w:tr>
      <w:tr>
        <w:tc>
          <w:tcPr>
            <w:tcW w:type="dxa" w:w="747"/>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P9</w:t>
            </w:r>
          </w:p>
        </w:tc>
        <w:tc>
          <w:tcPr>
            <w:tcW w:type="dxa" w:w="26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전이에는 이력현상이 있다</w:t>
            </w:r>
          </w:p>
        </w:tc>
        <w:tc>
          <w:tcPr>
            <w:tcW w:type="dxa" w:w="3177"/>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전진·역전이 시점의 비용차 비교</w:t>
            </w:r>
          </w:p>
        </w:tc>
        <w:tc>
          <w:tcPr>
            <w:tcW w:type="dxa" w:w="3180"/>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비대칭이 없으면 이력현상 명제 기각</w:t>
            </w:r>
          </w:p>
        </w:tc>
      </w:tr>
      <w:tr>
        <w:tc>
          <w:tcPr>
            <w:tcW w:type="dxa" w:w="747"/>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P10</w:t>
            </w:r>
          </w:p>
        </w:tc>
        <w:tc>
          <w:tcPr>
            <w:tcW w:type="dxa" w:w="261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S4는 고유한 설명력을 가진다</w:t>
            </w:r>
          </w:p>
        </w:tc>
        <w:tc>
          <w:tcPr>
            <w:tcW w:type="dxa" w:w="3177"/>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S4 지표의 유지·회귀 예측(전이 직후 열의 통제)</w:t>
            </w:r>
          </w:p>
        </w:tc>
        <w:tc>
          <w:tcPr>
            <w:tcW w:type="dxa" w:w="3180"/>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예측력이 없으면 S4 주장 축소</w:t>
            </w:r>
          </w:p>
        </w:tc>
      </w:tr>
      <w:tr>
        <w:tc>
          <w:tcPr>
            <w:tcW w:type="dxa" w:w="747"/>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P11</w:t>
            </w:r>
          </w:p>
        </w:tc>
        <w:tc>
          <w:tcPr>
            <w:tcW w:type="dxa" w:w="261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국면 판정은 신뢰할 수 있다</w:t>
            </w:r>
          </w:p>
        </w:tc>
        <w:tc>
          <w:tcPr>
            <w:tcW w:type="dxa" w:w="3177"/>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평정자 간 κ, 규칙·모형 판정 일치도</w:t>
            </w:r>
          </w:p>
        </w:tc>
        <w:tc>
          <w:tcPr>
            <w:tcW w:type="dxa" w:w="3180"/>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일치도가 낮으면 판정 규칙 수정</w:t>
            </w:r>
          </w:p>
        </w:tc>
      </w:tr>
    </w:tbl>
    <w:p>
      <w:pPr>
        <w:pStyle w:val="Heading1"/>
        <w:pBdr>
          <w:bottom w:val="single" w:color="2E4A62" w:sz="6" w:space="4"/>
        </w:pBdr>
        <w:spacing w:after="160" w:before="360"/>
      </w:pPr>
      <w:r>
        <w:rPr>
          <w:rFonts w:ascii="Noto Sans CJK KR" w:cs="Noto Sans CJK KR" w:eastAsia="Noto Sans CJK KR" w:hAnsi="Noto Sans CJK KR"/>
          <w:b/>
          <w:bCs/>
          <w:color w:val="2E4A62"/>
          <w:sz w:val="28"/>
          <w:szCs w:val="28"/>
        </w:rPr>
        <w:t xml:space="preserve">15  국면 판정 알고리즘</w:t>
      </w:r>
    </w:p>
    <w:p>
      <w:pPr>
        <w:pStyle w:val="Heading2"/>
        <w:spacing w:after="100" w:before="240"/>
      </w:pPr>
      <w:r>
        <w:rPr>
          <w:rFonts w:ascii="Noto Sans CJK KR" w:cs="Noto Sans CJK KR" w:eastAsia="Noto Sans CJK KR" w:hAnsi="Noto Sans CJK KR"/>
          <w:b/>
          <w:bCs/>
          <w:color w:val="2E4A62"/>
          <w:sz w:val="23"/>
          <w:szCs w:val="23"/>
        </w:rPr>
        <w:t xml:space="preserve">15.1 이중 판정 5단계</w:t>
      </w:r>
    </w:p>
    <w:p>
      <w:pPr>
        <w:pStyle w:val="ListParagraph"/>
        <w:numPr>
          <w:ilvl w:val="0"/>
          <w:numId w:val="5"/>
        </w:numPr>
        <w:spacing w:after="80" w:line="290"/>
      </w:pPr>
      <w:r>
        <w:rPr>
          <w:rFonts w:ascii="Noto Sans CJK KR" w:cs="Noto Sans CJK KR" w:eastAsia="Noto Sans CJK KR" w:hAnsi="Noto Sans CJK KR"/>
          <w:b/>
          <w:bCs/>
          <w:sz w:val="20"/>
          <w:szCs w:val="20"/>
        </w:rPr>
        <w:t xml:space="preserve">체제 판정:</w:t>
      </w:r>
      <w:r>
        <w:rPr>
          <w:rFonts w:ascii="Noto Sans CJK KR" w:cs="Noto Sans CJK KR" w:eastAsia="Noto Sans CJK KR" w:hAnsi="Noto Sans CJK KR"/>
          <w:sz w:val="20"/>
          <w:szCs w:val="20"/>
        </w:rPr>
        <w:t xml:space="preserve"> 기록을 근거로 E1 여부와 전이일을 두 평정자가 독립적으로 부호화한다.</w:t>
      </w:r>
    </w:p>
    <w:p>
      <w:pPr>
        <w:pStyle w:val="ListParagraph"/>
        <w:numPr>
          <w:ilvl w:val="0"/>
          <w:numId w:val="5"/>
        </w:numPr>
        <w:spacing w:after="80" w:line="290"/>
      </w:pPr>
      <w:r>
        <w:rPr>
          <w:rFonts w:ascii="Noto Sans CJK KR" w:cs="Noto Sans CJK KR" w:eastAsia="Noto Sans CJK KR" w:hAnsi="Noto Sans CJK KR"/>
          <w:b/>
          <w:bCs/>
          <w:sz w:val="20"/>
          <w:szCs w:val="20"/>
        </w:rPr>
        <w:t xml:space="preserve">규칙 기반 국면 판정(전향):</w:t>
      </w:r>
      <w:r>
        <w:rPr>
          <w:rFonts w:ascii="Noto Sans CJK KR" w:cs="Noto Sans CJK KR" w:eastAsia="Noto Sans CJK KR" w:hAnsi="Noto Sans CJK KR"/>
          <w:sz w:val="20"/>
          <w:szCs w:val="20"/>
        </w:rPr>
        <w:t xml:space="preserve"> 15.2절의 최소 증거 규칙에 따라 각 시점의 국면 후보를 부호화한다.</w:t>
      </w:r>
    </w:p>
    <w:p>
      <w:pPr>
        <w:pStyle w:val="ListParagraph"/>
        <w:numPr>
          <w:ilvl w:val="0"/>
          <w:numId w:val="5"/>
        </w:numPr>
        <w:spacing w:after="80" w:line="290"/>
      </w:pPr>
      <w:r>
        <w:rPr>
          <w:rFonts w:ascii="Noto Sans CJK KR" w:cs="Noto Sans CJK KR" w:eastAsia="Noto Sans CJK KR" w:hAnsi="Noto Sans CJK KR"/>
          <w:b/>
          <w:bCs/>
          <w:sz w:val="20"/>
          <w:szCs w:val="20"/>
        </w:rPr>
        <w:t xml:space="preserve">모형 기반 국면 판정:</w:t>
      </w:r>
      <w:r>
        <w:rPr>
          <w:rFonts w:ascii="Noto Sans CJK KR" w:cs="Noto Sans CJK KR" w:eastAsia="Noto Sans CJK KR" w:hAnsi="Noto Sans CJK KR"/>
          <w:sz w:val="20"/>
          <w:szCs w:val="20"/>
        </w:rPr>
        <w:t xml:space="preserve"> LTA 사후확률로 국면을 분류한다.</w:t>
      </w:r>
    </w:p>
    <w:p>
      <w:pPr>
        <w:pStyle w:val="ListParagraph"/>
        <w:numPr>
          <w:ilvl w:val="0"/>
          <w:numId w:val="5"/>
        </w:numPr>
        <w:spacing w:after="80" w:line="290"/>
      </w:pPr>
      <w:r>
        <w:rPr>
          <w:rFonts w:ascii="Noto Sans CJK KR" w:cs="Noto Sans CJK KR" w:eastAsia="Noto Sans CJK KR" w:hAnsi="Noto Sans CJK KR"/>
          <w:b/>
          <w:bCs/>
          <w:sz w:val="20"/>
          <w:szCs w:val="20"/>
        </w:rPr>
        <w:t xml:space="preserve">조정:</w:t>
      </w:r>
      <w:r>
        <w:rPr>
          <w:rFonts w:ascii="Noto Sans CJK KR" w:cs="Noto Sans CJK KR" w:eastAsia="Noto Sans CJK KR" w:hAnsi="Noto Sans CJK KR"/>
          <w:sz w:val="20"/>
          <w:szCs w:val="20"/>
        </w:rPr>
        <w:t xml:space="preserve"> 두 판정이 일치하면 “확정 후보”, 불일치하면 “혼합/불확정”으로 표시하고 사유를 기록한다.</w:t>
      </w:r>
    </w:p>
    <w:p>
      <w:pPr>
        <w:pStyle w:val="ListParagraph"/>
        <w:numPr>
          <w:ilvl w:val="0"/>
          <w:numId w:val="5"/>
        </w:numPr>
        <w:spacing w:after="80" w:line="290"/>
      </w:pPr>
      <w:r>
        <w:rPr>
          <w:rFonts w:ascii="Noto Sans CJK KR" w:cs="Noto Sans CJK KR" w:eastAsia="Noto Sans CJK KR" w:hAnsi="Noto Sans CJK KR"/>
          <w:b/>
          <w:bCs/>
          <w:sz w:val="20"/>
          <w:szCs w:val="20"/>
        </w:rPr>
        <w:t xml:space="preserve">후향적 검증:</w:t>
      </w:r>
      <w:r>
        <w:rPr>
          <w:rFonts w:ascii="Noto Sans CJK KR" w:cs="Noto Sans CJK KR" w:eastAsia="Noto Sans CJK KR" w:hAnsi="Noto Sans CJK KR"/>
          <w:sz w:val="20"/>
          <w:szCs w:val="20"/>
        </w:rPr>
        <w:t xml:space="preserve"> 관찰창 종료 후 S2 동태 지표, S3 민감성(모형 수준), S4 복원력을 확인하여 판정을 확정하거나 철회한다.</w:t>
      </w:r>
    </w:p>
    <w:p>
      <w:pPr>
        <w:spacing w:after="120" w:line="300"/>
        <w:jc w:val="both"/>
      </w:pPr>
      <w:r>
        <w:rPr>
          <w:rFonts w:ascii="Noto Sans CJK KR" w:cs="Noto Sans CJK KR" w:eastAsia="Noto Sans CJK KR" w:hAnsi="Noto Sans CJK KR"/>
          <w:b/>
          <w:bCs/>
          <w:sz w:val="20"/>
          <w:szCs w:val="20"/>
        </w:rPr>
        <w:t xml:space="preserve">잠정 불확정 규칙:</w:t>
      </w:r>
      <w:r>
        <w:rPr>
          <w:rFonts w:ascii="Noto Sans CJK KR" w:cs="Noto Sans CJK KR" w:eastAsia="Noto Sans CJK KR" w:hAnsi="Noto Sans CJK KR"/>
          <w:sz w:val="20"/>
          <w:szCs w:val="20"/>
        </w:rPr>
        <w:t xml:space="preserve"> 최대 사후확률이 .70 미만이거나 상위 두 국면의 확률 차이가 .20 미만이면 불확정으로 표시한다. 절단점은 .60과 .80으로 바꾼 민감도 분석을 함께 보고한다.</w:t>
      </w:r>
    </w:p>
    <w:p>
      <w:pPr>
        <w:pStyle w:val="Heading2"/>
        <w:spacing w:after="100" w:before="240"/>
      </w:pPr>
      <w:r>
        <w:rPr>
          <w:rFonts w:ascii="Noto Sans CJK KR" w:cs="Noto Sans CJK KR" w:eastAsia="Noto Sans CJK KR" w:hAnsi="Noto Sans CJK KR"/>
          <w:b/>
          <w:bCs/>
          <w:color w:val="2E4A62"/>
          <w:sz w:val="23"/>
          <w:szCs w:val="23"/>
        </w:rPr>
        <w:t xml:space="preserve">15.2 국면별 최소 증거 규칙</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
        <w:gridCol w:w="4860"/>
        <w:gridCol w:w="3888"/>
      </w:tblGrid>
      <w:tr>
        <w:trPr>
          <w:tblHeader/>
        </w:trPr>
        <w:tc>
          <w:tcPr>
            <w:tcW w:type="dxa" w:w="972"/>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국면</w:t>
            </w:r>
          </w:p>
        </w:tc>
        <w:tc>
          <w:tcPr>
            <w:tcW w:type="dxa" w:w="4860"/>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최소 증거(전향)</w:t>
            </w:r>
          </w:p>
        </w:tc>
        <w:tc>
          <w:tcPr>
            <w:tcW w:type="dxa" w:w="3888"/>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확정 조건(후향)</w:t>
            </w:r>
          </w:p>
        </w:tc>
      </w:tr>
      <w:tr>
        <w:tc>
          <w:tcPr>
            <w:tcW w:type="dxa" w:w="97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S0</w:t>
            </w:r>
          </w:p>
        </w:tc>
        <w:tc>
          <w:tcPr>
            <w:tcW w:type="dxa" w:w="4860"/>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불일치 신호 2시점 이상 또는 2자료원 + [특] 문항 참</w:t>
            </w:r>
          </w:p>
        </w:tc>
        <w:tc>
          <w:tcPr>
            <w:tcW w:type="dxa" w:w="388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w:t>
            </w:r>
          </w:p>
        </w:tc>
      </w:tr>
      <w:tr>
        <w:tc>
          <w:tcPr>
            <w:tcW w:type="dxa" w:w="97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S1</w:t>
            </w:r>
          </w:p>
        </w:tc>
        <w:tc>
          <w:tcPr>
            <w:tcW w:type="dxa" w:w="4860"/>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두 요구의 구체적 명명 + 선택 제약 반복 + 기능 유지</w:t>
            </w:r>
          </w:p>
        </w:tc>
        <w:tc>
          <w:tcPr>
            <w:tcW w:type="dxa" w:w="388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w:t>
            </w:r>
          </w:p>
        </w:tc>
      </w:tr>
      <w:tr>
        <w:tc>
          <w:tcPr>
            <w:tcW w:type="dxa" w:w="97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S2</w:t>
            </w:r>
          </w:p>
        </w:tc>
        <w:tc>
          <w:tcPr>
            <w:tcW w:type="dxa" w:w="4860"/>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지각된 회복 지연 + 독립 자료원 1개 이상</w:t>
            </w:r>
          </w:p>
        </w:tc>
        <w:tc>
          <w:tcPr>
            <w:tcW w:type="dxa" w:w="388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동태 지표에서 기준선 대비 회복 지연 확인</w:t>
            </w:r>
          </w:p>
        </w:tc>
      </w:tr>
      <w:tr>
        <w:tc>
          <w:tcPr>
            <w:tcW w:type="dxa" w:w="97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S3</w:t>
            </w:r>
          </w:p>
        </w:tc>
        <w:tc>
          <w:tcPr>
            <w:tcW w:type="dxa" w:w="4860"/>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비용 평가 + 가용 대안 + 실행 준비 모두 충족</w:t>
            </w:r>
          </w:p>
        </w:tc>
        <w:tc>
          <w:tcPr>
            <w:tcW w:type="dxa" w:w="388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(모형 수준) 계기 민감성</w:t>
            </w:r>
          </w:p>
        </w:tc>
      </w:tr>
      <w:tr>
        <w:tc>
          <w:tcPr>
            <w:tcW w:type="dxa" w:w="972"/>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E1</w:t>
            </w:r>
          </w:p>
        </w:tc>
        <w:tc>
          <w:tcPr>
            <w:tcW w:type="dxa" w:w="4860"/>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기록 1건 + 자기보고 또는 제3자 확인 1건</w:t>
            </w:r>
          </w:p>
        </w:tc>
        <w:tc>
          <w:tcPr>
            <w:tcW w:type="dxa" w:w="3888"/>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실행 기록의 사후 대조</w:t>
            </w:r>
          </w:p>
        </w:tc>
      </w:tr>
      <w:tr>
        <w:tc>
          <w:tcPr>
            <w:tcW w:type="dxa" w:w="972"/>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S4</w:t>
            </w:r>
          </w:p>
        </w:tc>
        <w:tc>
          <w:tcPr>
            <w:tcW w:type="dxa" w:w="4860"/>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관찰창 안 반복 + 정렬</w:t>
            </w:r>
          </w:p>
        </w:tc>
        <w:tc>
          <w:tcPr>
            <w:tcW w:type="dxa" w:w="3888"/>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교란 후 새 방식 복귀 1회 이상</w:t>
            </w:r>
          </w:p>
        </w:tc>
      </w:tr>
    </w:tbl>
    <w:p>
      <w:pPr>
        <w:pStyle w:val="Heading2"/>
        <w:spacing w:after="100" w:before="240"/>
      </w:pPr>
      <w:r>
        <w:rPr>
          <w:rFonts w:ascii="Noto Sans CJK KR" w:cs="Noto Sans CJK KR" w:eastAsia="Noto Sans CJK KR" w:hAnsi="Noto Sans CJK KR"/>
          <w:b/>
          <w:bCs/>
          <w:color w:val="2E4A62"/>
          <w:sz w:val="23"/>
          <w:szCs w:val="23"/>
        </w:rPr>
        <w:t xml:space="preserve">15.3 판정 기록지</w:t>
      </w:r>
    </w:p>
    <w:tbl>
      <w:tblPr>
        <w:tblW w:type="dxa" w:w="97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4"/>
        <w:gridCol w:w="7776"/>
      </w:tblGrid>
      <w:tr>
        <w:trPr>
          <w:tblHeader/>
        </w:trPr>
        <w:tc>
          <w:tcPr>
            <w:tcW w:type="dxa" w:w="1944"/>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기록 항목</w:t>
            </w:r>
          </w:p>
        </w:tc>
        <w:tc>
          <w:tcPr>
            <w:tcW w:type="dxa" w:w="7776"/>
            <w:tcBorders>
              <w:top w:val="single" w:color="C9D3DD" w:sz="4"/>
              <w:left w:val="single" w:color="C9D3DD" w:sz="4"/>
              <w:bottom w:val="single" w:color="C9D3DD" w:sz="4"/>
              <w:right w:val="single" w:color="C9D3DD" w:sz="4"/>
            </w:tcBorders>
            <w:shd w:fill="E9EEF3" w:color="auto" w:val="clear"/>
            <w:tcMar>
              <w:top w:type="dxa" w:w="70"/>
              <w:left w:type="dxa" w:w="100"/>
              <w:bottom w:type="dxa" w:w="70"/>
              <w:right w:type="dxa" w:w="100"/>
            </w:tcMar>
          </w:tcPr>
          <w:p>
            <w:pPr>
              <w:spacing w:line="270"/>
              <w:jc w:val="center"/>
            </w:pPr>
            <w:r>
              <w:rPr>
                <w:rFonts w:ascii="Noto Sans CJK KR" w:cs="Noto Sans CJK KR" w:eastAsia="Noto Sans CJK KR" w:hAnsi="Noto Sans CJK KR"/>
                <w:b/>
                <w:bCs/>
                <w:sz w:val="18"/>
                <w:szCs w:val="18"/>
              </w:rPr>
              <w:t xml:space="preserve">입력 내용</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대상 사건</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변화 대상, 기존 방식, 대안 방식, 분석 단위, 자발/강제</w:t>
            </w:r>
          </w:p>
        </w:tc>
      </w:tr>
      <w:tr>
        <w:tc>
          <w:tcPr>
            <w:tcW w:type="dxa" w:w="19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시간과 기준선</w:t>
            </w:r>
          </w:p>
        </w:tc>
        <w:tc>
          <w:tcPr>
            <w:tcW w:type="dxa" w:w="77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모집 시점, 기준선 확보 여부, 최초 불일치·명명·회복 저하·준비 개시·실행·정착 시점</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국면 근거</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시점별 설문·면접·기록의 징후와 반대 증거, 문항 유형별 응답</w:t>
            </w:r>
          </w:p>
        </w:tc>
      </w:tr>
      <w:tr>
        <w:tc>
          <w:tcPr>
            <w:tcW w:type="dxa" w:w="19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전이 사건</w:t>
            </w:r>
          </w:p>
        </w:tc>
        <w:tc>
          <w:tcPr>
            <w:tcW w:type="dxa" w:w="77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첫 실행일, 달라진 행동, 기록 유형, 평정자 2인의 판정과 일치 여부</w:t>
            </w:r>
          </w:p>
        </w:tc>
      </w:tr>
      <w:tr>
        <w:tc>
          <w:tcPr>
            <w:tcW w:type="dxa" w:w="1944"/>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후속 상태</w:t>
            </w:r>
          </w:p>
        </w:tc>
        <w:tc>
          <w:tcPr>
            <w:tcW w:type="dxa" w:w="7776"/>
            <w:tcBorders>
              <w:top w:val="single" w:color="C9D3DD" w:sz="4"/>
              <w:left w:val="single" w:color="C9D3DD" w:sz="4"/>
              <w:bottom w:val="single" w:color="C9D3DD" w:sz="4"/>
              <w:right w:val="single" w:color="C9D3DD" w:sz="4"/>
            </w:tcBorders>
            <w:shd w:fill="FFFFFF"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관찰창 내 반복 횟수, 정렬 증거, 교란 후 복귀, 회귀 여부</w:t>
            </w:r>
          </w:p>
        </w:tc>
      </w:tr>
      <w:tr>
        <w:tc>
          <w:tcPr>
            <w:tcW w:type="dxa" w:w="1944"/>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bCs/>
                <w:sz w:val="18"/>
                <w:szCs w:val="18"/>
              </w:rPr>
              <w:t xml:space="preserve">판정 불확실성</w:t>
            </w:r>
          </w:p>
        </w:tc>
        <w:tc>
          <w:tcPr>
            <w:tcW w:type="dxa" w:w="7776"/>
            <w:tcBorders>
              <w:top w:val="single" w:color="C9D3DD" w:sz="4"/>
              <w:left w:val="single" w:color="C9D3DD" w:sz="4"/>
              <w:bottom w:val="single" w:color="C9D3DD" w:sz="4"/>
              <w:right w:val="single" w:color="C9D3DD" w:sz="4"/>
            </w:tcBorders>
            <w:shd w:fill="F7F9FB" w:color="auto" w:val="clear"/>
            <w:tcMar>
              <w:top w:type="dxa" w:w="70"/>
              <w:left w:type="dxa" w:w="100"/>
              <w:bottom w:type="dxa" w:w="70"/>
              <w:right w:type="dxa" w:w="100"/>
            </w:tcMar>
          </w:tcPr>
          <w:p>
            <w:pPr>
              <w:spacing w:line="270"/>
              <w:jc w:val="left"/>
            </w:pPr>
            <w:r>
              <w:rPr>
                <w:rFonts w:ascii="Noto Sans CJK KR" w:cs="Noto Sans CJK KR" w:eastAsia="Noto Sans CJK KR" w:hAnsi="Noto Sans CJK KR"/>
                <w:b w:val="false"/>
                <w:bCs w:val="false"/>
                <w:sz w:val="18"/>
                <w:szCs w:val="18"/>
              </w:rPr>
              <w:t xml:space="preserve">규칙·모형 판정의 일치 여부, 사후확률, 자료 누락, 대안 해석</w:t>
            </w:r>
          </w:p>
        </w:tc>
      </w:tr>
    </w:tbl>
    <w:p>
      <w:pPr>
        <w:pStyle w:val="Heading1"/>
        <w:pBdr>
          <w:bottom w:val="single" w:color="2E4A62" w:sz="6" w:space="4"/>
        </w:pBdr>
        <w:spacing w:after="160" w:before="360"/>
      </w:pPr>
      <w:r>
        <w:rPr>
          <w:rFonts w:ascii="Noto Sans CJK KR" w:cs="Noto Sans CJK KR" w:eastAsia="Noto Sans CJK KR" w:hAnsi="Noto Sans CJK KR"/>
          <w:b/>
          <w:bCs/>
          <w:color w:val="2E4A62"/>
          <w:sz w:val="28"/>
          <w:szCs w:val="28"/>
        </w:rPr>
        <w:t xml:space="preserve">16  사전등록과 연구 윤리</w:t>
      </w:r>
    </w:p>
    <w:p>
      <w:pPr>
        <w:spacing w:after="120" w:line="300"/>
        <w:jc w:val="both"/>
      </w:pPr>
      <w:r>
        <w:rPr>
          <w:rFonts w:ascii="Noto Sans CJK KR" w:cs="Noto Sans CJK KR" w:eastAsia="Noto Sans CJK KR" w:hAnsi="Noto Sans CJK KR"/>
          <w:sz w:val="20"/>
          <w:szCs w:val="20"/>
        </w:rPr>
        <w:t xml:space="preserve">사전등록에는 다음을 포함한다. 국면별 최소 증거 규칙과 전향·후향 구분, 시간 창과 관찰창, 전이행렬 제약 가설, 비용식의 함수형 비교 계획, 불확정 절단점과 민감도 분석, 누락 자료 처리(FIML 또는 다중대체), 모형 비교 기준, 하위집단 검토, 그리고 명제별 수정·기각 규칙(14장).</w:t>
      </w:r>
    </w:p>
    <w:p>
      <w:pPr>
        <w:spacing w:after="120" w:line="300"/>
        <w:jc w:val="both"/>
      </w:pPr>
      <w:r>
        <w:rPr>
          <w:rFonts w:ascii="Noto Sans CJK KR" w:cs="Noto Sans CJK KR" w:eastAsia="Noto Sans CJK KR" w:hAnsi="Noto Sans CJK KR"/>
          <w:sz w:val="20"/>
          <w:szCs w:val="20"/>
        </w:rPr>
        <w:t xml:space="preserve">국면 판정 결과를 관리자의 인사평가나 개인 진단 등급으로 전용하지 않는다. 업무 기록과 일지 같은 고빈도 자료는 수집 목적, 접근 권한, 보존 기간, 비식별화 절차를 참여자에게 사전에 고지한다. 경계 국면의 지표는 소진·우울과 겹칠 수 있으므로 고위험 응답에 대한 안내 절차를 마련한다.</w:t>
      </w:r>
    </w:p>
    <w:p>
      <w:pPr>
        <w:pStyle w:val="Heading1"/>
        <w:pBdr>
          <w:bottom w:val="single" w:color="2E4A62" w:sz="6" w:space="4"/>
        </w:pBdr>
        <w:spacing w:after="160" w:before="360"/>
      </w:pPr>
      <w:r>
        <w:rPr>
          <w:rFonts w:ascii="Noto Sans CJK KR" w:cs="Noto Sans CJK KR" w:eastAsia="Noto Sans CJK KR" w:hAnsi="Noto Sans CJK KR"/>
          <w:b/>
          <w:bCs/>
          <w:color w:val="2E4A62"/>
          <w:sz w:val="28"/>
          <w:szCs w:val="28"/>
        </w:rPr>
        <w:t xml:space="preserve">17  다음 판본의 결정 과제</w:t>
      </w:r>
    </w:p>
    <w:p>
      <w:pPr>
        <w:pStyle w:val="ListParagraph"/>
        <w:numPr>
          <w:ilvl w:val="0"/>
          <w:numId w:val="6"/>
        </w:numPr>
        <w:spacing w:after="80" w:line="290"/>
      </w:pPr>
      <w:r>
        <w:rPr>
          <w:rFonts w:ascii="Noto Sans CJK KR" w:cs="Noto Sans CJK KR" w:eastAsia="Noto Sans CJK KR" w:hAnsi="Noto Sans CJK KR"/>
          <w:sz w:val="20"/>
          <w:szCs w:val="20"/>
        </w:rPr>
        <w:t xml:space="preserve">S0의 독립성이 5국면 대안모형과 비교하여 재현되는지 확인한다(P1).</w:t>
      </w:r>
    </w:p>
    <w:p>
      <w:pPr>
        <w:pStyle w:val="ListParagraph"/>
        <w:numPr>
          <w:ilvl w:val="0"/>
          <w:numId w:val="6"/>
        </w:numPr>
        <w:spacing w:after="80" w:line="290"/>
      </w:pPr>
      <w:r>
        <w:rPr>
          <w:rFonts w:ascii="Noto Sans CJK KR" w:cs="Noto Sans CJK KR" w:eastAsia="Noto Sans CJK KR" w:hAnsi="Noto Sans CJK KR"/>
          <w:sz w:val="20"/>
          <w:szCs w:val="20"/>
        </w:rPr>
        <w:t xml:space="preserve">지각된 경계와 동태적 경계의 수렴 정도를 확인하고, 설문 문항의 지위를 확정한다(P4).</w:t>
      </w:r>
    </w:p>
    <w:p>
      <w:pPr>
        <w:pStyle w:val="ListParagraph"/>
        <w:numPr>
          <w:ilvl w:val="0"/>
          <w:numId w:val="6"/>
        </w:numPr>
        <w:spacing w:after="80" w:line="290"/>
      </w:pPr>
      <w:r>
        <w:rPr>
          <w:rFonts w:ascii="Noto Sans CJK KR" w:cs="Noto Sans CJK KR" w:eastAsia="Noto Sans CJK KR" w:hAnsi="Noto Sans CJK KR"/>
          <w:sz w:val="20"/>
          <w:szCs w:val="20"/>
        </w:rPr>
        <w:t xml:space="preserve">비용식의 함수형(비율형·가산형)과 비선형성(cusp)을 결정한다(P6, P7).</w:t>
      </w:r>
    </w:p>
    <w:p>
      <w:pPr>
        <w:pStyle w:val="ListParagraph"/>
        <w:numPr>
          <w:ilvl w:val="0"/>
          <w:numId w:val="6"/>
        </w:numPr>
        <w:spacing w:after="80" w:line="290"/>
      </w:pPr>
      <w:r>
        <w:rPr>
          <w:rFonts w:ascii="Noto Sans CJK KR" w:cs="Noto Sans CJK KR" w:eastAsia="Noto Sans CJK KR" w:hAnsi="Noto Sans CJK KR"/>
          <w:sz w:val="20"/>
          <w:szCs w:val="20"/>
        </w:rPr>
        <w:t xml:space="preserve">문항 유형 부호화가 실제 응답 패턴과 일치하는지(누적형의 위계, 특이형의 이상점 곡선) 검토한다.</w:t>
      </w:r>
    </w:p>
    <w:p>
      <w:pPr>
        <w:pStyle w:val="ListParagraph"/>
        <w:numPr>
          <w:ilvl w:val="0"/>
          <w:numId w:val="6"/>
        </w:numPr>
        <w:spacing w:after="80" w:line="290"/>
      </w:pPr>
      <w:r>
        <w:rPr>
          <w:rFonts w:ascii="Noto Sans CJK KR" w:cs="Noto Sans CJK KR" w:eastAsia="Noto Sans CJK KR" w:hAnsi="Noto Sans CJK KR"/>
          <w:sz w:val="20"/>
          <w:szCs w:val="20"/>
        </w:rPr>
        <w:t xml:space="preserve">연구 대상별로 E1의 핵심 영역, S4 관찰창, 버스트 길이를 사전 결정한다.</w:t>
      </w:r>
    </w:p>
    <w:p>
      <w:pPr>
        <w:pStyle w:val="ListParagraph"/>
        <w:numPr>
          <w:ilvl w:val="0"/>
          <w:numId w:val="6"/>
        </w:numPr>
        <w:spacing w:after="80" w:line="290"/>
      </w:pPr>
      <w:r>
        <w:rPr>
          <w:rFonts w:ascii="Noto Sans CJK KR" w:cs="Noto Sans CJK KR" w:eastAsia="Noto Sans CJK KR" w:hAnsi="Noto Sans CJK KR"/>
          <w:sz w:val="20"/>
          <w:szCs w:val="20"/>
        </w:rPr>
        <w:t xml:space="preserve">재구조화의 지속 가능성과 바람직함을 별도 결과로 나누어 보고한다.</w:t>
      </w:r>
    </w:p>
    <w:p>
      <w:pPr>
        <w:pStyle w:val="Heading1"/>
        <w:pBdr>
          <w:bottom w:val="single" w:color="2E4A62" w:sz="6" w:space="4"/>
        </w:pBdr>
        <w:spacing w:after="160" w:before="360"/>
      </w:pPr>
      <w:r>
        <w:rPr>
          <w:rFonts w:ascii="Noto Sans CJK KR" w:cs="Noto Sans CJK KR" w:eastAsia="Noto Sans CJK KR" w:hAnsi="Noto Sans CJK KR"/>
          <w:b/>
          <w:bCs/>
          <w:color w:val="2E4A62"/>
          <w:sz w:val="28"/>
          <w:szCs w:val="28"/>
        </w:rPr>
        <w:t xml:space="preserve">자료 근거와 사용 범위</w:t>
      </w:r>
    </w:p>
    <w:p>
      <w:pPr>
        <w:spacing w:after="120" w:line="300"/>
        <w:jc w:val="both"/>
      </w:pPr>
      <w:r>
        <w:rPr>
          <w:rFonts w:ascii="Noto Sans CJK KR" w:cs="Noto Sans CJK KR" w:eastAsia="Noto Sans CJK KR" w:hAnsi="Noto Sans CJK KR"/>
          <w:b/>
          <w:bCs/>
          <w:sz w:val="20"/>
          <w:szCs w:val="20"/>
        </w:rPr>
        <w:t xml:space="preserve">기존 연구 문서:</w:t>
      </w:r>
      <w:r>
        <w:rPr>
          <w:rFonts w:ascii="Noto Sans CJK KR" w:cs="Noto Sans CJK KR" w:eastAsia="Noto Sans CJK KR" w:hAnsi="Noto Sans CJK KR"/>
          <w:sz w:val="20"/>
          <w:szCs w:val="20"/>
        </w:rPr>
        <w:t xml:space="preserve"> 「DTTM 이론 명세서 제1판」(2026. 8. 16.), 「DTTM 이론논문 보완제안서」(2026. 5. 23.), 「DTTM 6국면 상세 조작적 명세서」(연구용 확장 초안). 본 문서는 이들 자료의 개념을 유지하면서 구조·증거·검정 절차를 개정한 제2판 초안이다.</w:t>
      </w:r>
    </w:p>
    <w:p>
      <w:pPr>
        <w:spacing w:after="120" w:line="300"/>
        <w:jc w:val="both"/>
      </w:pPr>
      <w:r>
        <w:rPr>
          <w:rFonts w:ascii="Noto Sans CJK KR" w:cs="Noto Sans CJK KR" w:eastAsia="Noto Sans CJK KR" w:hAnsi="Noto Sans CJK KR"/>
          <w:b/>
          <w:bCs/>
          <w:sz w:val="20"/>
          <w:szCs w:val="20"/>
        </w:rPr>
        <w:t xml:space="preserve">방법 참고:</w:t>
      </w:r>
      <w:r>
        <w:rPr>
          <w:rFonts w:ascii="Noto Sans CJK KR" w:cs="Noto Sans CJK KR" w:eastAsia="Noto Sans CJK KR" w:hAnsi="Noto Sans CJK KR"/>
          <w:sz w:val="20"/>
          <w:szCs w:val="20"/>
        </w:rPr>
        <w:t xml:space="preserve"> 김아영 외, 「심리검사 제작의 실제」(학지사); COSMIN 내용타당도·인지면접 기준; Moore 외(2025), 종단 잠재전이분석 권고; Helmich 외(2021), 심리학적 임계전이 조기경보 신호의 제한; Dakos 외(2012), 조기경보 지표의 산출 방법; Grasman, van der Maas, &amp; Wagenmakers(2009), cusp 모형 적합; Roberts, Donoghue, &amp; Laughlin(2000), 일반화 등급 전개 모형(GGUM). 방법 참고문헌은 일반적 절차의 근거이며 DTTM 자체의 실증 검증을 뜻하지 않는다. 투고 전 서지 정보를 원문으로 확인한다.</w:t>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CJK KR" w:cs="Noto Sans CJK KR" w:eastAsia="Noto Sans CJK KR" w:hAnsi="Noto Sans CJK KR"/>
        <w:color w:val="7A8896"/>
        <w:sz w:val="16"/>
        <w:szCs w:val="16"/>
      </w:rPr>
      <w:t xml:space="preserve">DTTM 6국면 상세 조작적 명세서 제2판  ·  연구용 초안  ·  </w:t>
    </w:r>
    <w:r>
      <w:rPr>
        <w:rFonts w:ascii="Noto Sans CJK KR" w:cs="Noto Sans CJK KR" w:eastAsia="Noto Sans CJK KR" w:hAnsi="Noto Sans CJK KR"/>
        <w:color w:val="7A88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abstractNum w:abstractNumId="3" w15:restartNumberingAfterBreak="0">
    <w:multiLevelType w:val="hybridMultilevel"/>
    <w:lvl w:ilvl="0" w15:tentative="1">
      <w:start w:val="1"/>
      <w:numFmt w:val="decimal"/>
      <w:lvlText w:val="%1."/>
      <w:lvlJc w:val="left"/>
      <w:pPr>
        <w:ind w:left="460" w:hanging="320"/>
      </w:pPr>
      <w:rPr>
        <w:rFonts w:ascii="Noto Sans CJK KR" w:cs="Noto Sans CJK KR" w:eastAsia="Noto Sans CJK KR" w:hAnsi="Noto Sans CJK KR"/>
        <w:sz w:val="20"/>
        <w:szCs w:val="20"/>
      </w:rPr>
    </w:lvl>
  </w:abstractNum>
  <w:abstractNum w:abstractNumId="4" w15:restartNumberingAfterBreak="0">
    <w:multiLevelType w:val="hybridMultilevel"/>
    <w:lvl w:ilvl="0" w15:tentative="1">
      <w:start w:val="1"/>
      <w:numFmt w:val="decimal"/>
      <w:lvlText w:val="%1."/>
      <w:lvlJc w:val="left"/>
      <w:pPr>
        <w:ind w:left="460" w:hanging="320"/>
      </w:pPr>
      <w:rPr>
        <w:rFonts w:ascii="Noto Sans CJK KR" w:cs="Noto Sans CJK KR" w:eastAsia="Noto Sans CJK KR" w:hAnsi="Noto Sans CJK KR"/>
        <w:sz w:val="20"/>
        <w:szCs w:val="20"/>
      </w:rPr>
    </w:lvl>
  </w:abstractNum>
  <w:abstractNum w:abstractNumId="5" w15:restartNumberingAfterBreak="0">
    <w:multiLevelType w:val="hybridMultilevel"/>
    <w:lvl w:ilvl="0" w15:tentative="1">
      <w:start w:val="1"/>
      <w:numFmt w:val="decimal"/>
      <w:lvlText w:val="%1."/>
      <w:lvlJc w:val="left"/>
      <w:pPr>
        <w:ind w:left="460" w:hanging="320"/>
      </w:pPr>
      <w:rPr>
        <w:rFonts w:ascii="Noto Sans CJK KR" w:cs="Noto Sans CJK KR" w:eastAsia="Noto Sans CJK KR" w:hAnsi="Noto Sans CJK KR"/>
        <w:sz w:val="20"/>
        <w:szCs w:val="20"/>
      </w:rPr>
    </w:lvl>
  </w:abstractNum>
  <w:abstractNum w:abstractNumId="6" w15:restartNumberingAfterBreak="0">
    <w:multiLevelType w:val="hybridMultilevel"/>
    <w:lvl w:ilvl="0" w15:tentative="1">
      <w:start w:val="1"/>
      <w:numFmt w:val="decimal"/>
      <w:lvlText w:val="%1."/>
      <w:lvlJc w:val="left"/>
      <w:pPr>
        <w:ind w:left="460" w:hanging="320"/>
      </w:pPr>
      <w:rPr>
        <w:rFonts w:ascii="Noto Sans CJK KR" w:cs="Noto Sans CJK KR" w:eastAsia="Noto Sans CJK KR" w:hAnsi="Noto Sans CJK KR"/>
        <w:sz w:val="20"/>
        <w:szCs w:val="20"/>
      </w:rPr>
    </w:lvl>
  </w:abstractNum>
  <w:abstractNum w:abstractNumId="7" w15:restartNumberingAfterBreak="0">
    <w:multiLevelType w:val="hybridMultilevel"/>
    <w:lvl w:ilvl="0" w15:tentative="1">
      <w:start w:val="1"/>
      <w:numFmt w:val="decimal"/>
      <w:lvlText w:val="%1."/>
      <w:lvlJc w:val="left"/>
      <w:pPr>
        <w:ind w:left="460" w:hanging="320"/>
      </w:pPr>
      <w:rPr>
        <w:rFonts w:ascii="Noto Sans CJK KR" w:cs="Noto Sans CJK KR" w:eastAsia="Noto Sans CJK KR" w:hAnsi="Noto Sans CJK KR"/>
        <w:sz w:val="20"/>
        <w:szCs w:val="20"/>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KR" w:cs="Noto Sans CJK KR" w:eastAsia="Noto Sans CJK KR" w:hAnsi="Noto Sans CJK K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2026-09-27T01:19:17.379Z</dcterms:created>
  <dcterms:modified xsi:type="dcterms:W3CDTF">2026-09-27T01:19:17.387Z</dcterms:modified>
</cp:coreProperties>
</file>

<file path=docProps/custom.xml><?xml version="1.0" encoding="utf-8"?>
<Properties xmlns="http://schemas.openxmlformats.org/officeDocument/2006/custom-properties" xmlns:vt="http://schemas.openxmlformats.org/officeDocument/2006/docPropsVTypes"/>
</file>