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STEER-F: Correcting Myopic Entropy Control in RLVR</w:t>
        <w:br/>
        <w:t>with Multi-Token Future-Entropy Forecasting</w:t>
      </w:r>
    </w:p>
    <w:p>
      <w:pPr>
        <w:jc w:val="center"/>
      </w:pPr>
      <w:r>
        <w:rPr>
          <w:i/>
          <w:sz w:val="22"/>
        </w:rPr>
        <w:t>Method (draft — experimental results pending)</w:t>
      </w:r>
    </w:p>
    <w:p/>
    <w:p>
      <w:pPr>
        <w:pStyle w:val="Heading1"/>
      </w:pPr>
      <w:r>
        <w:t>Abstract</w:t>
      </w:r>
    </w:p>
    <w:p>
      <w:r>
        <w:t>Entropy-aware reweighting stabilises reinforcement learning with verifiable rewards (RLVR) by scaling each token's learning signal according to how the update is predicted to change that token's entropy. We observe that this estimate is myopic: it captures only the local term of the trajectory-entropy decomposition and is blind to the visitation term, under which a policy that concentrates probability at a branch point deletes every future state along the abandoned branch without any local entropy change large enough to notice. STEER-F supplies the missing term. Multi-token prediction (MTP) heads forecast the entropy that lies ahead of each decision; the forecast is converted into a branch score by subtracting a prefix-matched sibling baseline; and the score extends the reweighting metric. The construction is exactly reducible: at λ = 0 the method is bit-identical to the stock entropy-control baseline, which we enforce by test against a verbatim copy of the upstream function rather than by inspection, so that every reported difference is attributable to the future-entropy term alone.</w:t>
      </w:r>
    </w:p>
    <w:p>
      <w:pPr>
        <w:pStyle w:val="Placeholder"/>
      </w:pPr>
      <w:r>
        <w:t>[Abstract to be completed with headline numbers once Phase 2 finishes.]</w:t>
      </w:r>
    </w:p>
    <w:p>
      <w:pPr>
        <w:pStyle w:val="Heading1"/>
      </w:pPr>
      <w:r>
        <w:t>1  Preliminaries</w:t>
      </w:r>
    </w:p>
    <w:p>
      <w:pPr>
        <w:pStyle w:val="Heading2"/>
      </w:pPr>
      <w:r>
        <w:t>1.1  RLVR with group-relative advantages</w:t>
      </w:r>
    </w:p>
    <w:p>
      <w:r>
        <w:t>We train a policy πθ on verifiable mathematical reasoning with GRPO. For each prompt, a group of n rollouts is sampled; the reward is a binary verifier outcome; and the advantage of token t in rollout i is the group-standardised return. The policy objective is the usual clipped surrogate with asymmetric clipping bounds, no KL penalty to a reference policy, and no entropy bonus, so that entropy dynamics are governed entirely by the reweighting under study.</w:t>
      </w:r>
    </w:p>
    <w:p>
      <w:pPr>
        <w:pStyle w:val="Heading2"/>
      </w:pPr>
      <w:r>
        <w:t>1.2  The local entropy-change estimate</w:t>
      </w:r>
    </w:p>
    <w:p>
      <w:r>
        <w:t>The baseline method reweights each token by a first-order prediction of the entropy change that one gradient step induces at that token. Writing π for the current probability of the sampled token, π_old for its probability under the behaviour policy, A for the advantage and H for the token's policy entropy, the estimate is</w:t>
      </w:r>
    </w:p>
    <w:p>
      <w:pPr>
        <w:pStyle w:val="Equation"/>
      </w:pPr>
      <w:r>
        <w:t>x       = clamp(exp(log π), 1e-8, 1 - 1e-8)</w:t>
      </w:r>
    </w:p>
    <w:p>
      <w:pPr>
        <w:pStyle w:val="Equation"/>
      </w:pPr>
      <w:r>
        <w:t>f       = x · (1 - x) · (log x + H)</w:t>
      </w:r>
    </w:p>
    <w:p>
      <w:pPr>
        <w:pStyle w:val="Equation"/>
      </w:pPr>
      <w:r>
        <w:t>Ω_local = - ( A / clamp(exp(log π_old), 1e-8, 1) ) · f</w:t>
      </w:r>
    </w:p>
    <w:p>
      <w:r>
        <w:t>with the sign convention that Ω &gt; 0 means the update is predicted to raise entropy at this position. Ω is then mapped to a bounded token weight w ∈ [w_min, w_max] and multiplies the per-token policy-gradient loss.</w:t>
      </w:r>
    </w:p>
    <w:p>
      <w:pPr>
        <w:pStyle w:val="Heading2"/>
      </w:pPr>
      <w:r>
        <w:t>1.3  What the mapping actually is</w:t>
      </w:r>
    </w:p>
    <w:p>
      <w:r>
        <w:t>This subsection records a discrepancy that determines several design choices downstream, and we state it explicitly because the natural reading of the baseline's description does not match its implementation.</w:t>
      </w:r>
    </w:p>
    <w:p>
      <w:r>
        <w:t>There is no entropy band [ΔH_low, ΔH_high] and no discrete multiplier α ∈ {γ, 1, 1/γ}. The implementation rescales Ω onto [w_min, w_max] per micro-batch, by one of two mappings: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Mapping</w:t>
            </w:r>
          </w:p>
        </w:tc>
        <w:tc>
          <w:tcPr>
            <w:tcW w:type="dxa" w:w="2880"/>
          </w:tcPr>
          <w:p>
            <w:r/>
            <w:r>
              <w:rPr>
                <w:rFonts w:ascii="Times New Roman" w:hAnsi="Times New Roman"/>
                <w:b/>
                <w:sz w:val="18"/>
              </w:rPr>
              <w:t>Form</w:t>
            </w:r>
          </w:p>
        </w:tc>
        <w:tc>
          <w:tcPr>
            <w:tcW w:type="dxa" w:w="2880"/>
          </w:tcPr>
          <w:p>
            <w:r/>
            <w:r>
              <w:rPr>
                <w:rFonts w:ascii="Times New Roman" w:hAnsi="Times New Roman"/>
                <w:b/>
                <w:sz w:val="18"/>
              </w:rPr>
              <w:t>Invariant under</w:t>
            </w:r>
          </w:p>
        </w:tc>
      </w:tr>
      <w:tr>
        <w:tc>
          <w:tcPr>
            <w:tcW w:type="dxa" w:w="2880"/>
          </w:tcPr>
          <w:p>
            <w:r/>
            <w:r>
              <w:rPr>
                <w:rFonts w:ascii="Consolas" w:hAnsi="Consolas"/>
                <w:sz w:val="18"/>
              </w:rPr>
              <w:t>linear=True</w:t>
            </w:r>
          </w:p>
        </w:tc>
        <w:tc>
          <w:tcPr>
            <w:tcW w:type="dxa" w:w="2880"/>
          </w:tcPr>
          <w:p>
            <w:r/>
            <w:r>
              <w:rPr>
                <w:rFonts w:ascii="Times New Roman" w:hAnsi="Times New Roman"/>
                <w:sz w:val="18"/>
              </w:rPr>
              <w:t>min–max rescale of Ω onto [w_min, w_max]</w:t>
            </w:r>
          </w:p>
        </w:tc>
        <w:tc>
          <w:tcPr>
            <w:tcW w:type="dxa" w:w="2880"/>
          </w:tcPr>
          <w:p>
            <w:r/>
            <w:r>
              <w:rPr>
                <w:rFonts w:ascii="Times New Roman" w:hAnsi="Times New Roman"/>
                <w:sz w:val="18"/>
              </w:rPr>
              <w:t>any affine a·x + b with a &gt; 0</w:t>
            </w:r>
          </w:p>
        </w:tc>
      </w:tr>
      <w:tr>
        <w:tc>
          <w:tcPr>
            <w:tcW w:type="dxa" w:w="2880"/>
          </w:tcPr>
          <w:p>
            <w:r/>
            <w:r>
              <w:rPr>
                <w:rFonts w:ascii="Consolas" w:hAnsi="Consolas"/>
                <w:sz w:val="18"/>
              </w:rPr>
              <w:t>linear=False</w:t>
            </w:r>
          </w:p>
        </w:tc>
        <w:tc>
          <w:tcPr>
            <w:tcW w:type="dxa" w:w="2880"/>
          </w:tcPr>
          <w:p>
            <w:r/>
            <w:r>
              <w:rPr>
                <w:rFonts w:ascii="Times New Roman" w:hAnsi="Times New Roman"/>
                <w:sz w:val="18"/>
              </w:rPr>
              <w:t>w = exp(±k·Ω), k = -log w_min / max(|Ω|_max, 0.02)</w:t>
            </w:r>
          </w:p>
        </w:tc>
        <w:tc>
          <w:tcPr>
            <w:tcW w:type="dxa" w:w="2880"/>
          </w:tcPr>
          <w:p>
            <w:r/>
            <w:r>
              <w:rPr>
                <w:rFonts w:ascii="Times New Roman" w:hAnsi="Times New Roman"/>
                <w:sz w:val="18"/>
              </w:rPr>
              <w:t>positive scaling a·x only (exp is not shift-invariant)</w:t>
            </w:r>
          </w:p>
        </w:tc>
      </w:tr>
    </w:tbl>
    <w:p/>
    <w:p>
      <w:r>
        <w:t>Additionally, mode="symmetric" applies abs(·) to the metric before the mapping, so the point zero carries meaning and any recentring changes which tokens count as large entropy changes.</w:t>
      </w:r>
    </w:p>
    <w:p>
      <w:r>
        <w:t>Two consequences follow. First, the min–max statistics are computed per micro-batch, so the micro-batch size is part of the method's configuration rather than a memory knob; it must be pinned across every arm being compared. Second, the only normalisation that leaves all four (mode, mapping) combinations untouched is positive scaling without recentring — which is why §2.4 uses RMS scaling rather than a z-score.</w:t>
      </w:r>
    </w:p>
    <w:p>
      <w:pPr>
        <w:pStyle w:val="Heading1"/>
      </w:pPr>
      <w:r>
        <w:t>2  Method</w:t>
      </w:r>
    </w:p>
    <w:p>
      <w:pPr>
        <w:pStyle w:val="Heading2"/>
      </w:pPr>
      <w:r>
        <w:t>2.1  Motivation: the missing visitation term</w:t>
      </w:r>
    </w:p>
    <w:p>
      <w:r>
        <w:t>Trajectory entropy decomposes into a local term — the entropy of the next-token distribution at each visited state — and a visitation term, the entropy induced by which states are reached at all. Ω_local sees only the first. At a branch point, concentrating probability on one continuation may change the local next-token entropy very little while removing an entire subtree of future states from the policy's support. STEER-F adds an estimate of that second effect.</w:t>
      </w:r>
    </w:p>
    <w:p>
      <w:pPr>
        <w:pStyle w:val="Heading2"/>
      </w:pPr>
      <w:r>
        <w:t>2.2  Forecasting future entropy with MTP heads</w:t>
      </w:r>
    </w:p>
    <w:p>
      <w:r>
        <w:t>We attach K lightweight heads to the frozen policy body. Head k reads the policy's final hidden state h_t and predicts the distribution of the token at offset t + k + 1. Each head is a bottleneck MLP with a residual connection,</w:t>
      </w:r>
    </w:p>
    <w:p>
      <w:pPr>
        <w:pStyle w:val="Equation"/>
      </w:pPr>
      <w:r>
        <w:t>head_k(h) = h + W2_k · SiLU( W1_k · h ),      W1_k ∈ R^{d×H}, W2_k ∈ R^{H×d}</w:t>
      </w:r>
    </w:p>
    <w:p>
      <w:pPr>
        <w:pStyle w:val="Equation"/>
      </w:pPr>
      <w:r>
        <w:t>logits_k  = lm_head( head_k(h) )</w:t>
      </w:r>
    </w:p>
    <w:p>
      <w:r>
        <w:t>The unembedding is shared with the policy, so the heads add only 2·K·H·d parameters and inherit a calibrated output geometry. The final projection of every head is zero-initialised, making head k an identity-initialised copy of the +1 predictor at the start of training.</w:t>
      </w:r>
    </w:p>
    <w:p>
      <w:r>
        <w:t>Entropy is computed without ever materialising the [K, B, T, V] logit stack: positions are chunked through the unembedding and reduced to a scalar entropy in place, so peak additional memory is chunk_size × V and is independent of sequence length.</w:t>
      </w:r>
    </w:p>
    <w:p>
      <w:pPr>
        <w:pStyle w:val="Heading2"/>
      </w:pPr>
      <w:r>
        <w:t>2.3  From forecasts to a branch score</w:t>
      </w:r>
    </w:p>
    <w:p>
      <w:r>
        <w:t>The discounted entropy-to-go at a state s is</w:t>
      </w:r>
    </w:p>
    <w:p>
      <w:pPr>
        <w:pStyle w:val="Equation"/>
      </w:pPr>
      <w:r>
        <w:t>H_togo(s) = Σ_{k=1..κ}  γ_H^k · H( p_MTP( y_{t+k} | s ) )</w:t>
      </w:r>
    </w:p>
    <w:p>
      <w:r>
        <w:t>The heads are trained with K ≥ κ and are independent, so the horizon κ is selected post hoc without retraining.</w:t>
      </w:r>
    </w:p>
    <w:p>
      <w:r>
        <w:t>Index alignment is load-bearing. The hidden state at position t is the one produced after consuming y_t, so a forecast read at that position is conditioned on the sampled token: it is H_togo(s_t ⊕ y_t), not H_togo(s_t). The branch score subtracts a baseline that conditions on the state only:</w:t>
      </w:r>
    </w:p>
    <w:p>
      <w:pPr>
        <w:pStyle w:val="Equation"/>
      </w:pPr>
      <w:r>
        <w:t>A_H(s_t, y_t) = H_togo(s_t ⊕ y_t) − H̄_togo(s_t)</w:t>
      </w:r>
    </w:p>
    <w:p>
      <w:r>
        <w:t>We consider two baselines.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18"/>
              </w:rPr>
              <w:t>Baseline</w:t>
            </w:r>
          </w:p>
        </w:tc>
        <w:tc>
          <w:tcPr>
            <w:tcW w:type="dxa" w:w="4320"/>
          </w:tcPr>
          <w:p>
            <w:r/>
            <w:r>
              <w:rPr>
                <w:rFonts w:ascii="Times New Roman" w:hAnsi="Times New Roman"/>
                <w:b/>
                <w:sz w:val="18"/>
              </w:rPr>
              <w:t>Definition</w:t>
            </w:r>
          </w:p>
        </w:tc>
      </w:tr>
      <w:tr>
        <w:tc>
          <w:tcPr>
            <w:tcW w:type="dxa" w:w="4320"/>
          </w:tcPr>
          <w:p>
            <w:r/>
            <w:r>
              <w:rPr>
                <w:rFonts w:ascii="Consolas" w:hAnsi="Consolas"/>
                <w:sz w:val="18"/>
              </w:rPr>
              <w:t>sibling (default)</w:t>
            </w:r>
          </w:p>
        </w:tc>
        <w:tc>
          <w:tcPr>
            <w:tcW w:type="dxa" w:w="4320"/>
          </w:tcPr>
          <w:p>
            <w:r/>
            <w:r>
              <w:rPr>
                <w:rFonts w:ascii="Times New Roman" w:hAnsi="Times New Roman"/>
                <w:sz w:val="18"/>
              </w:rPr>
              <w:t>Mean H_togo over rollouts in the same prompt group whose responses agree on every token strictly before t. The strict inequality is what makes the difference a branch score: siblings must share the prefix but are free to differ at t itself.</w:t>
            </w:r>
          </w:p>
        </w:tc>
      </w:tr>
      <w:tr>
        <w:tc>
          <w:tcPr>
            <w:tcW w:type="dxa" w:w="4320"/>
          </w:tcPr>
          <w:p>
            <w:r/>
            <w:r>
              <w:rPr>
                <w:rFonts w:ascii="Consolas" w:hAnsi="Consolas"/>
                <w:sz w:val="18"/>
              </w:rPr>
              <w:t>group</w:t>
            </w:r>
          </w:p>
        </w:tc>
        <w:tc>
          <w:tcPr>
            <w:tcW w:type="dxa" w:w="4320"/>
          </w:tcPr>
          <w:p>
            <w:r/>
            <w:r>
              <w:rPr>
                <w:rFonts w:ascii="Times New Roman" w:hAnsi="Times New Roman"/>
                <w:sz w:val="18"/>
              </w:rPr>
              <w:t>Mean H_togo over the whole prompt group at position t, ignoring prefix agreement.</w:t>
            </w:r>
          </w:p>
        </w:tc>
      </w:tr>
    </w:tbl>
    <w:p/>
    <w:p>
      <w:r>
        <w:t>A property of the sibling baseline is worth stating because it governs how A_H must be summarised. Once a rollout has become unique within its group it is its own only sibling, so its baseline equals its own value and A_H is exactly zero. Past the first divergence this holds at nearly every position: with eight rollouts sharing a short prefix, A_H is exactly zero at 93.8% of positions at T = 96, 98.8% at T = 512, and 99.4% at T = 1024. A_H is therefore a sparse signal supported on the sibling-rich region, and any statistic defined as “the top decile of A_H” must select by rank rather than by thresholding at the k-th largest value, since a value threshold admits the entire tie block at zero.</w:t>
      </w:r>
    </w:p>
    <w:p>
      <w:pPr>
        <w:pStyle w:val="Caption2"/>
      </w:pPr>
      <w:r>
        <w:t>Table 1. Zero mass of A_H under the sibling baseline, measured on eight siblings with a shared five-token prefix.</w:t>
      </w:r>
    </w:p>
    <w:p>
      <w:pPr>
        <w:pStyle w:val="Heading2"/>
      </w:pPr>
      <w:r>
        <w:t>2.4  The extended metric</w:t>
      </w:r>
    </w:p>
    <w:p>
      <w:r>
        <w:t>A gradient step on the clipped surrogate moves the sampled token's logit by η·w; the softmax Jacobian turns this into a first-order shift of its log-probability:</w:t>
      </w:r>
    </w:p>
    <w:p>
      <w:pPr>
        <w:pStyle w:val="Equation"/>
      </w:pPr>
      <w:r>
        <w:t>Δlogπ̂ = η · w · (1 − π)</w:t>
      </w:r>
    </w:p>
    <w:p>
      <w:r>
        <w:t>Multiplying the shift by the clipped branch score gives the visitation contribution, and the extended metric is the normalised sum of the two terms:</w:t>
      </w:r>
    </w:p>
    <w:p>
      <w:pPr>
        <w:pStyle w:val="Equation"/>
      </w:pPr>
      <w:r>
        <w:t>Ω̃ = norm(Ω_local) + λ · norm( Δlogπ̂ · clip(A_H, −c, c) )</w:t>
      </w:r>
    </w:p>
    <w:p>
      <w:r>
        <w:t>The sign reading is consistent with Ω_local. When Δlogπ̂ &gt; 0 and A_H &gt; 0 the update concentrates mass on a branch whose future is more diverse than its siblings', so trajectory entropy rises; when A_H &lt; 0 mass moves onto a comparative dead end and trajectory entropy falls, even though the local term may register nothing.</w:t>
      </w:r>
    </w:p>
    <w:p>
      <w:r>
        <w:t>norm(·) divides by the masked RMS. As established in §1.3, positive scaling without recentring is the only normalisation compatible with all four (mode, mapping) combinations of the baseline; a z-score would break the symmetric mode, where abs(·) makes zero a meaningful pivot. A degenerate input returns zeros rather than dividing by a near-zero scale, which is safe because an all-equal metric already maps every token to the same weight.</w:t>
      </w:r>
    </w:p>
    <w:p>
      <w:r>
        <w:t>Boundedness is provided by clip(A_H, −c, c) together with the clamp onto [w_min, w_max] that the baseline mapping already applies; no discrete multiplier is involved, consistent with §1.3.</w:t>
      </w:r>
    </w:p>
    <w:p>
      <w:pPr>
        <w:pStyle w:val="Heading2"/>
      </w:pPr>
      <w:r>
        <w:t>2.5  Exact reducibility at λ = 0</w:t>
      </w:r>
    </w:p>
    <w:p>
      <w:r>
        <w:t>At λ = 0 the implementation returns Ω_local itself, before any normalisation is applied, rather than relying on norm(·) happening to be a no-op. The λ = 0 arm therefore traverses the same code path as λ &gt; 0 while producing bit-identical token weights to the unmodified upstream function. This is verified by test against a verbatim copy of the upstream implementation across all four (mode, mapping) combinations, and the test suite additionally demonstrates the failure mode that a recentring normalisation would introduce. The consequence for the experimental design is that the STEER-F effect is a controlled within-codebase comparison rather than a comparison across implementations.</w:t>
      </w:r>
    </w:p>
    <w:p>
      <w:pPr>
        <w:pStyle w:val="Heading2"/>
      </w:pPr>
      <w:r>
        <w:t>2.6  Head calibration</w:t>
      </w:r>
    </w:p>
    <w:p>
      <w:r>
        <w:t>Distant heads systematically over-estimate entropy: their predictive distribution is blurred by everything that may intervene, so H drifts toward log V as k grows. Uncorrected, this makes the far future look uniformly diverse and destroys the discriminative power of A_H. We fit a per-head correction against Monte-Carlo measured entropy,</w:t>
      </w:r>
    </w:p>
    <w:p>
      <w:pPr>
        <w:pStyle w:val="Equation"/>
      </w:pPr>
      <w:r>
        <w:t>H_cal,k = scale_k · H( softmax( logits_k / τ_k ) ) + bias_k</w:t>
      </w:r>
    </w:p>
    <w:p>
      <w:r>
        <w:t>by least squares, with τ folded into the entropy computation itself and (scale, bias) as the residual affine fit. Heads whose forecast has no variance receive scale = 1, bias = 0 instead of a division by zero. Calibration is re-estimated per model family; all other hyper-parameters are transferred unchanged, since transferability is itself a claim under test.</w:t>
      </w:r>
    </w:p>
    <w:p>
      <w:pPr>
        <w:pStyle w:val="Heading1"/>
      </w:pPr>
      <w:r>
        <w:t>3  Validation protocol for the forecast</w:t>
      </w:r>
    </w:p>
    <w:p>
      <w:r>
        <w:t>Because the entire method rests on A_H carrying information, we validate the forecast offline before committing it to RL, and treat a failure here as a publishable negative result rather than as an obstacle to be tuned away.</w:t>
      </w:r>
    </w:p>
    <w:p>
      <w:pPr>
        <w:pStyle w:val="Heading2"/>
      </w:pPr>
      <w:r>
        <w:t>3.1  Criterion 1 — rank correlation with measured entropy</w:t>
      </w:r>
    </w:p>
    <w:p>
      <w:r>
        <w:t>For each of a set of prefixes drawn from on-policy trajectories, we sample continuations and measure the policy's entropy at each offset, then compare the forecast H_togo against the measured counterpart. Two details matter. First, the comparison applies the same discount γ_H to the measurement as to the forecast; scoring a discounted forecast against an undiscounted measurement would penalise γ_H &lt; 1 for reasons unrelated to forecast quality. Second, correlation is computed within problem and averaged over problems by Fisher-z, since between-problem variation in difficulty would otherwise dominate a pooled coefficient.</w:t>
      </w:r>
    </w:p>
    <w:p>
      <w:pPr>
        <w:pStyle w:val="Heading2"/>
      </w:pPr>
      <w:r>
        <w:t>3.2  Criterion 2 — branch recall against chance</w:t>
      </w:r>
    </w:p>
    <w:p>
      <w:r>
        <w:t>A position t of rollout i is a true branch point when at least one rollout sharing the prefix before t chose a different token at t. This quantity is defined by siblings and therefore does not exist for independently sampled continuations; it is measured on real rollout groups. We test whether true branch points fall inside the top decile of A_H more often than chance, using an exact binomial test whose null is the realised selection rate rather than the nominal decile — rounding and ties make the achieved fraction differ, and testing against the nominal value would bias the verdict.</w:t>
      </w:r>
    </w:p>
    <w:p>
      <w:r>
        <w:t>Two caveats are reported alongside the statistic. When the number of true branch points is small the test has little power, so a failure indicates insufficient sampling rather than an uninformative forecast. And because A_H is supported on the sibling-rich region (§2.3), its support alone is partially informative about branch locations; we therefore report the same statistic computed with untrained heads as a control, so that a pass is attributable to the forecast's ranking rather than to its support.</w:t>
      </w:r>
    </w:p>
    <w:p>
      <w:pPr>
        <w:pStyle w:val="Heading2"/>
      </w:pPr>
      <w:r>
        <w:t>3.3  Diagnostics logged during RL</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18"/>
              </w:rPr>
              <w:t>Quantity</w:t>
            </w:r>
          </w:p>
        </w:tc>
        <w:tc>
          <w:tcPr>
            <w:tcW w:type="dxa" w:w="4320"/>
          </w:tcPr>
          <w:p>
            <w:r/>
            <w:r>
              <w:rPr>
                <w:rFonts w:ascii="Times New Roman" w:hAnsi="Times New Roman"/>
                <w:b/>
                <w:sz w:val="18"/>
              </w:rPr>
              <w:t>What it establishes</w:t>
            </w:r>
          </w:p>
        </w:tc>
      </w:tr>
      <w:tr>
        <w:tc>
          <w:tcPr>
            <w:tcW w:type="dxa" w:w="4320"/>
          </w:tcPr>
          <w:p>
            <w:r/>
            <w:r>
              <w:rPr>
                <w:rFonts w:ascii="Consolas" w:hAnsi="Consolas"/>
                <w:sz w:val="18"/>
              </w:rPr>
              <w:t>actor/entropy</w:t>
            </w:r>
          </w:p>
        </w:tc>
        <w:tc>
          <w:tcPr>
            <w:tcW w:type="dxa" w:w="4320"/>
          </w:tcPr>
          <w:p>
            <w:r/>
            <w:r>
              <w:rPr>
                <w:rFonts w:ascii="Times New Roman" w:hAnsi="Times New Roman"/>
                <w:sz w:val="18"/>
              </w:rPr>
              <w:t>Overall policy entropy — the collapse being prevented.</w:t>
            </w:r>
          </w:p>
        </w:tc>
      </w:tr>
      <w:tr>
        <w:tc>
          <w:tcPr>
            <w:tcW w:type="dxa" w:w="4320"/>
          </w:tcPr>
          <w:p>
            <w:r/>
            <w:r>
              <w:rPr>
                <w:rFonts w:ascii="Times New Roman" w:hAnsi="Times New Roman"/>
                <w:sz w:val="18"/>
              </w:rPr>
              <w:t>branch_entropy, branch_entropy_gap</w:t>
            </w:r>
          </w:p>
        </w:tc>
        <w:tc>
          <w:tcPr>
            <w:tcW w:type="dxa" w:w="4320"/>
          </w:tcPr>
          <w:p>
            <w:r/>
            <w:r>
              <w:rPr>
                <w:rFonts w:ascii="Times New Roman" w:hAnsi="Times New Roman"/>
                <w:sz w:val="18"/>
              </w:rPr>
              <w:t>Entropy restricted to the top-decile-A_H tokens versus the rest. A rise here under a flat overall entropy is the signature of the intended mechanism rather than of a uniform entropy bonus.</w:t>
            </w:r>
          </w:p>
        </w:tc>
      </w:tr>
      <w:tr>
        <w:tc>
          <w:tcPr>
            <w:tcW w:type="dxa" w:w="4320"/>
          </w:tcPr>
          <w:p>
            <w:r/>
            <w:r>
              <w:rPr>
                <w:rFonts w:ascii="Consolas" w:hAnsi="Consolas"/>
                <w:sz w:val="18"/>
              </w:rPr>
              <w:t>visit_rel_mag</w:t>
            </w:r>
          </w:p>
        </w:tc>
        <w:tc>
          <w:tcPr>
            <w:tcW w:type="dxa" w:w="4320"/>
          </w:tcPr>
          <w:p>
            <w:r/>
            <w:r>
              <w:rPr>
                <w:rFonts w:ascii="Times New Roman" w:hAnsi="Times New Roman"/>
                <w:sz w:val="18"/>
              </w:rPr>
              <w:t>Magnitude of the visitation term relative to the local term; establishes that λ is doing neither nothing nor everything.</w:t>
            </w:r>
          </w:p>
        </w:tc>
      </w:tr>
      <w:tr>
        <w:tc>
          <w:tcPr>
            <w:tcW w:type="dxa" w:w="4320"/>
          </w:tcPr>
          <w:p>
            <w:r/>
            <w:r>
              <w:rPr>
                <w:rFonts w:ascii="Consolas" w:hAnsi="Consolas"/>
                <w:sz w:val="18"/>
              </w:rPr>
              <w:t>a_h_clip_frac</w:t>
            </w:r>
          </w:p>
        </w:tc>
        <w:tc>
          <w:tcPr>
            <w:tcW w:type="dxa" w:w="4320"/>
          </w:tcPr>
          <w:p>
            <w:r/>
            <w:r>
              <w:rPr>
                <w:rFonts w:ascii="Times New Roman" w:hAnsi="Times New Roman"/>
                <w:sz w:val="18"/>
              </w:rPr>
              <w:t>Saturation of clip(A_H, ±c). A saturated clip cannot discriminate branches.</w:t>
            </w:r>
          </w:p>
        </w:tc>
      </w:tr>
      <w:tr>
        <w:tc>
          <w:tcPr>
            <w:tcW w:type="dxa" w:w="4320"/>
          </w:tcPr>
          <w:p>
            <w:r/>
            <w:r>
              <w:rPr>
                <w:rFonts w:ascii="Consolas" w:hAnsi="Consolas"/>
                <w:sz w:val="18"/>
              </w:rPr>
              <w:t>token weight occupancy</w:t>
            </w:r>
          </w:p>
        </w:tc>
        <w:tc>
          <w:tcPr>
            <w:tcW w:type="dxa" w:w="4320"/>
          </w:tcPr>
          <w:p>
            <w:r/>
            <w:r>
              <w:rPr>
                <w:rFonts w:ascii="Times New Roman" w:hAnsi="Times New Roman"/>
                <w:sz w:val="18"/>
              </w:rPr>
              <w:t>Fraction of weights in each third of [w_min, w_max]; a strong skew indicates the mapping range needs resetting.</w:t>
            </w:r>
          </w:p>
        </w:tc>
      </w:tr>
    </w:tbl>
    <w:p/>
    <w:p>
      <w:pPr>
        <w:pStyle w:val="Heading1"/>
      </w:pPr>
      <w:r>
        <w:t>4  Implementation</w:t>
      </w:r>
    </w:p>
    <w:p>
      <w:r>
        <w:t>The method is implemented as a drop-in replacement for the baseline's token weighting, delivered as patches against a pinned upstream commit so that the complete set of modifications remains a readable diff. All logic with behavioural content lives outside the patched tree and is unit-tested without the training framework installed; the patches themselves are mechanical delegations.</w:t>
      </w:r>
    </w:p>
    <w:p>
      <w:r>
        <w:t>The forecast requires the policy's final hidden states, which the training framework's existing log-probability pass discards. Rather than restructuring that pass, we perform one additional forward under no_grad; there is no backward, so the per-step cost is approximately one extra forward.</w:t>
      </w:r>
    </w:p>
    <w:p>
      <w:pPr>
        <w:pStyle w:val="Heading2"/>
      </w:pPr>
      <w:r>
        <w:t>4.1  Default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Symbol</w:t>
            </w:r>
          </w:p>
        </w:tc>
        <w:tc>
          <w:tcPr>
            <w:tcW w:type="dxa" w:w="2880"/>
          </w:tcPr>
          <w:p>
            <w:r/>
            <w:r>
              <w:rPr>
                <w:rFonts w:ascii="Times New Roman" w:hAnsi="Times New Roman"/>
                <w:b/>
                <w:sz w:val="18"/>
              </w:rPr>
              <w:t>Meaning</w:t>
            </w:r>
          </w:p>
        </w:tc>
        <w:tc>
          <w:tcPr>
            <w:tcW w:type="dxa" w:w="2880"/>
          </w:tcPr>
          <w:p>
            <w:r/>
            <w:r>
              <w:rPr>
                <w:rFonts w:ascii="Times New Roman" w:hAnsi="Times New Roman"/>
                <w:b/>
                <w:sz w:val="18"/>
              </w:rPr>
              <w:t>Default</w:t>
            </w:r>
          </w:p>
        </w:tc>
      </w:tr>
      <w:tr>
        <w:tc>
          <w:tcPr>
            <w:tcW w:type="dxa" w:w="2880"/>
          </w:tcPr>
          <w:p>
            <w:r/>
            <w:r>
              <w:rPr>
                <w:rFonts w:ascii="Consolas" w:hAnsi="Consolas"/>
                <w:sz w:val="18"/>
              </w:rPr>
              <w:t>λ</w:t>
            </w:r>
          </w:p>
        </w:tc>
        <w:tc>
          <w:tcPr>
            <w:tcW w:type="dxa" w:w="2880"/>
          </w:tcPr>
          <w:p>
            <w:r/>
            <w:r>
              <w:rPr>
                <w:rFonts w:ascii="Times New Roman" w:hAnsi="Times New Roman"/>
                <w:sz w:val="18"/>
              </w:rPr>
              <w:t>weight of the visitation term (0 = baseline)</w:t>
            </w:r>
          </w:p>
        </w:tc>
        <w:tc>
          <w:tcPr>
            <w:tcW w:type="dxa" w:w="2880"/>
          </w:tcPr>
          <w:p>
            <w:r/>
            <w:r>
              <w:rPr>
                <w:rFonts w:ascii="Times New Roman" w:hAnsi="Times New Roman"/>
                <w:sz w:val="18"/>
              </w:rPr>
              <w:t>swept</w:t>
            </w:r>
          </w:p>
        </w:tc>
      </w:tr>
      <w:tr>
        <w:tc>
          <w:tcPr>
            <w:tcW w:type="dxa" w:w="2880"/>
          </w:tcPr>
          <w:p>
            <w:r/>
            <w:r>
              <w:rPr>
                <w:rFonts w:ascii="Consolas" w:hAnsi="Consolas"/>
                <w:sz w:val="18"/>
              </w:rPr>
              <w:t>η</w:t>
            </w:r>
          </w:p>
        </w:tc>
        <w:tc>
          <w:tcPr>
            <w:tcW w:type="dxa" w:w="2880"/>
          </w:tcPr>
          <w:p>
            <w:r/>
            <w:r>
              <w:rPr>
                <w:rFonts w:ascii="Times New Roman" w:hAnsi="Times New Roman"/>
                <w:sz w:val="18"/>
              </w:rPr>
              <w:t>logit-step scale in Δlogπ̂</w:t>
            </w:r>
          </w:p>
        </w:tc>
        <w:tc>
          <w:tcPr>
            <w:tcW w:type="dxa" w:w="2880"/>
          </w:tcPr>
          <w:p>
            <w:r/>
            <w:r>
              <w:rPr>
                <w:rFonts w:ascii="Times New Roman" w:hAnsi="Times New Roman"/>
                <w:sz w:val="18"/>
              </w:rPr>
              <w:t>1.0</w:t>
            </w:r>
          </w:p>
        </w:tc>
      </w:tr>
      <w:tr>
        <w:tc>
          <w:tcPr>
            <w:tcW w:type="dxa" w:w="2880"/>
          </w:tcPr>
          <w:p>
            <w:r/>
            <w:r>
              <w:rPr>
                <w:rFonts w:ascii="Consolas" w:hAnsi="Consolas"/>
                <w:sz w:val="18"/>
              </w:rPr>
              <w:t>c</w:t>
            </w:r>
          </w:p>
        </w:tc>
        <w:tc>
          <w:tcPr>
            <w:tcW w:type="dxa" w:w="2880"/>
          </w:tcPr>
          <w:p>
            <w:r/>
            <w:r>
              <w:rPr>
                <w:rFonts w:ascii="Times New Roman" w:hAnsi="Times New Roman"/>
                <w:sz w:val="18"/>
              </w:rPr>
              <w:t>symmetric clip on A_H</w:t>
            </w:r>
          </w:p>
        </w:tc>
        <w:tc>
          <w:tcPr>
            <w:tcW w:type="dxa" w:w="2880"/>
          </w:tcPr>
          <w:p>
            <w:r/>
            <w:r>
              <w:rPr>
                <w:rFonts w:ascii="Times New Roman" w:hAnsi="Times New Roman"/>
                <w:sz w:val="18"/>
              </w:rPr>
              <w:t>1.0</w:t>
            </w:r>
          </w:p>
        </w:tc>
      </w:tr>
      <w:tr>
        <w:tc>
          <w:tcPr>
            <w:tcW w:type="dxa" w:w="2880"/>
          </w:tcPr>
          <w:p>
            <w:r/>
            <w:r>
              <w:rPr>
                <w:rFonts w:ascii="Consolas" w:hAnsi="Consolas"/>
                <w:sz w:val="18"/>
              </w:rPr>
              <w:t>norm</w:t>
            </w:r>
          </w:p>
        </w:tc>
        <w:tc>
          <w:tcPr>
            <w:tcW w:type="dxa" w:w="2880"/>
          </w:tcPr>
          <w:p>
            <w:r/>
            <w:r>
              <w:rPr>
                <w:rFonts w:ascii="Times New Roman" w:hAnsi="Times New Roman"/>
                <w:sz w:val="18"/>
              </w:rPr>
              <w:t>normalisation of the two terms</w:t>
            </w:r>
          </w:p>
        </w:tc>
        <w:tc>
          <w:tcPr>
            <w:tcW w:type="dxa" w:w="2880"/>
          </w:tcPr>
          <w:p>
            <w:r/>
            <w:r>
              <w:rPr>
                <w:rFonts w:ascii="Times New Roman" w:hAnsi="Times New Roman"/>
                <w:sz w:val="18"/>
              </w:rPr>
              <w:t>RMS scale</w:t>
            </w:r>
          </w:p>
        </w:tc>
      </w:tr>
      <w:tr>
        <w:tc>
          <w:tcPr>
            <w:tcW w:type="dxa" w:w="2880"/>
          </w:tcPr>
          <w:p>
            <w:r/>
            <w:r>
              <w:rPr>
                <w:rFonts w:ascii="Consolas" w:hAnsi="Consolas"/>
                <w:sz w:val="18"/>
              </w:rPr>
              <w:t>κ</w:t>
            </w:r>
          </w:p>
        </w:tc>
        <w:tc>
          <w:tcPr>
            <w:tcW w:type="dxa" w:w="2880"/>
          </w:tcPr>
          <w:p>
            <w:r/>
            <w:r>
              <w:rPr>
                <w:rFonts w:ascii="Times New Roman" w:hAnsi="Times New Roman"/>
                <w:sz w:val="18"/>
              </w:rPr>
              <w:t>forecast horizon</w:t>
            </w:r>
          </w:p>
        </w:tc>
        <w:tc>
          <w:tcPr>
            <w:tcW w:type="dxa" w:w="2880"/>
          </w:tcPr>
          <w:p>
            <w:r/>
            <w:r>
              <w:rPr>
                <w:rFonts w:ascii="Times New Roman" w:hAnsi="Times New Roman"/>
                <w:sz w:val="18"/>
              </w:rPr>
              <w:t>selected in §3</w:t>
            </w:r>
          </w:p>
        </w:tc>
      </w:tr>
      <w:tr>
        <w:tc>
          <w:tcPr>
            <w:tcW w:type="dxa" w:w="2880"/>
          </w:tcPr>
          <w:p>
            <w:r/>
            <w:r>
              <w:rPr>
                <w:rFonts w:ascii="Consolas" w:hAnsi="Consolas"/>
                <w:sz w:val="18"/>
              </w:rPr>
              <w:t>γ_H</w:t>
            </w:r>
          </w:p>
        </w:tc>
        <w:tc>
          <w:tcPr>
            <w:tcW w:type="dxa" w:w="2880"/>
          </w:tcPr>
          <w:p>
            <w:r/>
            <w:r>
              <w:rPr>
                <w:rFonts w:ascii="Times New Roman" w:hAnsi="Times New Roman"/>
                <w:sz w:val="18"/>
              </w:rPr>
              <w:t>entropy-to-go discount</w:t>
            </w:r>
          </w:p>
        </w:tc>
        <w:tc>
          <w:tcPr>
            <w:tcW w:type="dxa" w:w="2880"/>
          </w:tcPr>
          <w:p>
            <w:r/>
            <w:r>
              <w:rPr>
                <w:rFonts w:ascii="Times New Roman" w:hAnsi="Times New Roman"/>
                <w:sz w:val="18"/>
              </w:rPr>
              <w:t>selected in §3</w:t>
            </w:r>
          </w:p>
        </w:tc>
      </w:tr>
      <w:tr>
        <w:tc>
          <w:tcPr>
            <w:tcW w:type="dxa" w:w="2880"/>
          </w:tcPr>
          <w:p>
            <w:r/>
            <w:r>
              <w:rPr>
                <w:rFonts w:ascii="Consolas" w:hAnsi="Consolas"/>
                <w:sz w:val="18"/>
              </w:rPr>
              <w:t>baseline</w:t>
            </w:r>
          </w:p>
        </w:tc>
        <w:tc>
          <w:tcPr>
            <w:tcW w:type="dxa" w:w="2880"/>
          </w:tcPr>
          <w:p>
            <w:r/>
            <w:r>
              <w:rPr>
                <w:rFonts w:ascii="Times New Roman" w:hAnsi="Times New Roman"/>
                <w:sz w:val="18"/>
              </w:rPr>
              <w:t>A_H baseline</w:t>
            </w:r>
          </w:p>
        </w:tc>
        <w:tc>
          <w:tcPr>
            <w:tcW w:type="dxa" w:w="2880"/>
          </w:tcPr>
          <w:p>
            <w:r/>
            <w:r>
              <w:rPr>
                <w:rFonts w:ascii="Times New Roman" w:hAnsi="Times New Roman"/>
                <w:sz w:val="18"/>
              </w:rPr>
              <w:t>sibling</w:t>
            </w:r>
          </w:p>
        </w:tc>
      </w:tr>
      <w:tr>
        <w:tc>
          <w:tcPr>
            <w:tcW w:type="dxa" w:w="2880"/>
          </w:tcPr>
          <w:p>
            <w:r/>
            <w:r>
              <w:rPr>
                <w:rFonts w:ascii="Consolas" w:hAnsi="Consolas"/>
                <w:sz w:val="18"/>
              </w:rPr>
              <w:t>K</w:t>
            </w:r>
          </w:p>
        </w:tc>
        <w:tc>
          <w:tcPr>
            <w:tcW w:type="dxa" w:w="2880"/>
          </w:tcPr>
          <w:p>
            <w:r/>
            <w:r>
              <w:rPr>
                <w:rFonts w:ascii="Times New Roman" w:hAnsi="Times New Roman"/>
                <w:sz w:val="18"/>
              </w:rPr>
              <w:t>number of MTP heads trained</w:t>
            </w:r>
          </w:p>
        </w:tc>
        <w:tc>
          <w:tcPr>
            <w:tcW w:type="dxa" w:w="2880"/>
          </w:tcPr>
          <w:p>
            <w:r/>
            <w:r>
              <w:rPr>
                <w:rFonts w:ascii="Times New Roman" w:hAnsi="Times New Roman"/>
                <w:sz w:val="18"/>
              </w:rPr>
              <w:t>8</w:t>
            </w:r>
          </w:p>
        </w:tc>
      </w:tr>
      <w:tr>
        <w:tc>
          <w:tcPr>
            <w:tcW w:type="dxa" w:w="2880"/>
          </w:tcPr>
          <w:p>
            <w:r/>
            <w:r>
              <w:rPr>
                <w:rFonts w:ascii="Consolas" w:hAnsi="Consolas"/>
                <w:sz w:val="18"/>
              </w:rPr>
              <w:t>d</w:t>
            </w:r>
          </w:p>
        </w:tc>
        <w:tc>
          <w:tcPr>
            <w:tcW w:type="dxa" w:w="2880"/>
          </w:tcPr>
          <w:p>
            <w:r/>
            <w:r>
              <w:rPr>
                <w:rFonts w:ascii="Times New Roman" w:hAnsi="Times New Roman"/>
                <w:sz w:val="18"/>
              </w:rPr>
              <w:t>head bottleneck width</w:t>
            </w:r>
          </w:p>
        </w:tc>
        <w:tc>
          <w:tcPr>
            <w:tcW w:type="dxa" w:w="2880"/>
          </w:tcPr>
          <w:p>
            <w:r/>
            <w:r>
              <w:rPr>
                <w:rFonts w:ascii="Times New Roman" w:hAnsi="Times New Roman"/>
                <w:sz w:val="18"/>
              </w:rPr>
              <w:t>1024</w:t>
            </w:r>
          </w:p>
        </w:tc>
      </w:tr>
    </w:tbl>
    <w:p/>
    <w:p>
      <w:r>
        <w:t>Only the product λ·η matters after normalisation, so η is held at 1.0 and λ is swept.</w:t>
      </w:r>
    </w:p>
    <w:p>
      <w:pPr>
        <w:pStyle w:val="Heading2"/>
      </w:pPr>
      <w:r>
        <w:t>4.2  Scope of the present implementation</w:t>
      </w:r>
    </w:p>
    <w:p>
      <w:r>
        <w:t>Two components of the design are specified and unit-tested but not yet connected to the training loop: the MTP auxiliary loss that would let the heads co-evolve with the policy, and the drift controller that would decay λ when the heads and the policy disagree. Both need the training forward pass to expose hidden states. The runs reported here therefore hold the heads frozen at their warm-up state, which coincides with one of the planned ablations; we state this rather than leave it to be inferred, because it bounds what the results can support.</w:t>
      </w:r>
    </w:p>
    <w:p>
      <w:pPr>
        <w:pStyle w:val="Heading1"/>
      </w:pPr>
      <w:r>
        <w:t>5  Experimental setup</w:t>
      </w:r>
    </w:p>
    <w:p>
      <w:pPr>
        <w:pStyle w:val="Placeholder"/>
      </w:pPr>
      <w:r>
        <w:t>[To be completed. Will state: models and scales; datasets and verifier; the pinned micro-batch size and why it is pinned; the λ grid; seeds per arm and the resulting resolution relative to the effect size being claimed; the evaluation protocol and the number of samples used for pass@k.]</w:t>
      </w:r>
    </w:p>
    <w:p>
      <w:pPr>
        <w:pStyle w:val="Heading1"/>
      </w:pPr>
      <w:r>
        <w:t>6  Results</w:t>
      </w:r>
    </w:p>
    <w:p>
      <w:pPr>
        <w:pStyle w:val="Placeholder"/>
      </w:pPr>
      <w:r>
        <w:t>[To be completed once the runs finish. Will report: reproduction of the baseline's entropy behaviour; forecast validation outcomes including the untrained-head control; the λ sweep with per-seed values and seed means; the branch-entropy mechanism check; transfer to other model families; and ablations. Negative and failed runs are to be reported alongside successful ones.]</w:t>
      </w:r>
    </w:p>
    <w:p>
      <w:pPr>
        <w:pStyle w:val="Heading1"/>
      </w:pPr>
      <w:r>
        <w:t>7  Limitations</w:t>
      </w:r>
    </w:p>
    <w:p>
      <w:pPr>
        <w:pStyle w:val="Placeholder"/>
      </w:pPr>
      <w:r>
        <w:t>[To be completed. Known items to carry forward: heads are frozen during RL (§4.2); A_H is exactly zero wherever a rollout has no siblings, so the correction is inactive over most of a long response; calibration is fit on the warm-up policy and is not refreshed as the policy moves; and the sibling baseline makes A_H a deviation from a group mean, so roughly half of the rollouts at any branch point receive a negative score by construction.]</w:t>
      </w:r>
    </w:p>
    <w:p/>
    <w:p>
      <w:r>
        <w:rPr>
          <w:i/>
          <w:sz w:val="17"/>
        </w:rPr>
        <w:t>Draft generated from the implementation by scripts/make_methodology_doc.py. Formulas and defaults reflect the code as committed, not the design document; where the two differ, §1.3 records the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line="240" w:lineRule="auto"/>
      <w:ind w:left="480"/>
    </w:pPr>
    <w:rPr>
      <w:rFonts w:ascii="Consolas" w:hAnsi="Consolas"/>
      <w:sz w:val="18"/>
    </w:rPr>
  </w:style>
  <w:style w:type="paragraph" w:customStyle="1" w:styleId="Equation">
    <w:name w:val="Equation"/>
    <w:pPr>
      <w:spacing w:before="160" w:after="160"/>
      <w:ind w:left="480"/>
    </w:pPr>
    <w:rPr>
      <w:rFonts w:ascii="Consolas" w:hAnsi="Consolas"/>
      <w:sz w:val="20"/>
    </w:rPr>
  </w:style>
  <w:style w:type="paragraph" w:customStyle="1" w:styleId="Caption2">
    <w:name w:val="Caption2"/>
    <w:pPr>
      <w:spacing w:after="200"/>
    </w:pPr>
    <w:rPr>
      <w:rFonts w:ascii="Times New Roman" w:hAnsi="Times New Roman"/>
      <w:i/>
      <w:sz w:val="18"/>
    </w:rPr>
  </w:style>
  <w:style w:type="paragraph" w:customStyle="1" w:styleId="Placeholder">
    <w:name w:val="Placeholder"/>
    <w:pPr>
      <w:spacing w:after="200"/>
      <w:ind w:left="360"/>
    </w:pPr>
    <w:rPr>
      <w:rFonts w:ascii="Times New Roman" w:hAnsi="Times New Roman"/>
      <w:i/>
      <w:color w:val="9933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